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284" w:rsidRDefault="00447284">
      <w:pPr>
        <w:spacing w:line="360" w:lineRule="auto"/>
        <w:ind w:firstLineChars="150" w:firstLine="480"/>
        <w:rPr>
          <w:rFonts w:ascii="黑体" w:eastAsia="黑体" w:hint="eastAsia"/>
          <w:sz w:val="32"/>
          <w:szCs w:val="32"/>
        </w:rPr>
      </w:pPr>
    </w:p>
    <w:p w:rsidR="00447284" w:rsidRDefault="00447284">
      <w:pPr>
        <w:spacing w:line="360" w:lineRule="auto"/>
        <w:ind w:firstLineChars="150" w:firstLine="480"/>
        <w:rPr>
          <w:rFonts w:ascii="黑体" w:eastAsia="黑体" w:hint="eastAsia"/>
          <w:sz w:val="32"/>
          <w:szCs w:val="32"/>
        </w:rPr>
      </w:pPr>
      <w:r>
        <w:rPr>
          <w:rFonts w:ascii="黑体" w:eastAsia="黑体" w:hint="eastAsia"/>
          <w:sz w:val="32"/>
          <w:szCs w:val="32"/>
        </w:rPr>
        <w:t>安徽霍邱联合村镇银行股份有限公司2022年年度报告</w:t>
      </w:r>
    </w:p>
    <w:p w:rsidR="00447284" w:rsidRDefault="00447284">
      <w:pPr>
        <w:spacing w:line="360" w:lineRule="auto"/>
        <w:jc w:val="center"/>
        <w:rPr>
          <w:rFonts w:ascii="黑体" w:eastAsia="黑体" w:hint="eastAsia"/>
          <w:b/>
          <w:sz w:val="36"/>
          <w:szCs w:val="36"/>
        </w:rPr>
      </w:pPr>
    </w:p>
    <w:p w:rsidR="00447284" w:rsidRDefault="00447284">
      <w:pPr>
        <w:spacing w:line="360" w:lineRule="auto"/>
        <w:jc w:val="center"/>
        <w:rPr>
          <w:rFonts w:ascii="黑体" w:eastAsia="黑体" w:hint="eastAsia"/>
          <w:b/>
          <w:sz w:val="32"/>
          <w:szCs w:val="32"/>
        </w:rPr>
      </w:pPr>
      <w:r>
        <w:rPr>
          <w:rFonts w:ascii="黑体" w:eastAsia="黑体" w:hint="eastAsia"/>
          <w:b/>
          <w:sz w:val="32"/>
          <w:szCs w:val="32"/>
        </w:rPr>
        <w:t>目  录</w:t>
      </w:r>
    </w:p>
    <w:p w:rsidR="00447284" w:rsidRDefault="00447284">
      <w:pPr>
        <w:spacing w:line="360" w:lineRule="auto"/>
        <w:jc w:val="center"/>
        <w:rPr>
          <w:rFonts w:ascii="仿宋_GB2312" w:eastAsia="仿宋_GB2312" w:hint="eastAsia"/>
          <w:b/>
          <w:sz w:val="32"/>
          <w:szCs w:val="32"/>
        </w:rPr>
      </w:pPr>
    </w:p>
    <w:p w:rsidR="00447284" w:rsidRDefault="00447284">
      <w:pPr>
        <w:spacing w:line="360" w:lineRule="auto"/>
        <w:jc w:val="center"/>
        <w:rPr>
          <w:rFonts w:ascii="仿宋_GB2312" w:eastAsia="仿宋_GB2312" w:hint="eastAsia"/>
          <w:b/>
          <w:sz w:val="28"/>
        </w:rPr>
      </w:pPr>
    </w:p>
    <w:p w:rsidR="00447284" w:rsidRDefault="00447284">
      <w:pPr>
        <w:spacing w:line="360" w:lineRule="auto"/>
        <w:ind w:rightChars="-342" w:right="-718"/>
        <w:rPr>
          <w:rFonts w:ascii="仿宋_GB2312" w:eastAsia="仿宋_GB2312" w:hint="eastAsia"/>
          <w:sz w:val="30"/>
          <w:szCs w:val="30"/>
        </w:rPr>
      </w:pPr>
      <w:r>
        <w:rPr>
          <w:rFonts w:ascii="仿宋_GB2312" w:eastAsia="仿宋_GB2312" w:hint="eastAsia"/>
          <w:sz w:val="30"/>
          <w:szCs w:val="30"/>
        </w:rPr>
        <w:t>第一节  重要提示------------------------------第2页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第二节  基本情况简介--------------------------第2页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第三节  股本及股东情况------------------------第3页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第四节  董事、监事、高级管理人员和员工情况----第5页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第五节  公司治理情况--------------------------第6页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第六节  工作报告------------------------------第7页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第七节  各类风险和风险管理策略----------------第13页</w:t>
      </w:r>
    </w:p>
    <w:p w:rsidR="00447284" w:rsidRDefault="00447284">
      <w:pPr>
        <w:spacing w:line="360" w:lineRule="auto"/>
        <w:rPr>
          <w:rFonts w:ascii="仿宋_GB2312" w:eastAsia="仿宋_GB2312" w:hint="eastAsia"/>
          <w:sz w:val="30"/>
          <w:szCs w:val="30"/>
        </w:rPr>
      </w:pPr>
      <w:r>
        <w:rPr>
          <w:rFonts w:ascii="仿宋_GB2312" w:eastAsia="仿宋_GB2312" w:hint="eastAsia"/>
          <w:sz w:val="30"/>
          <w:szCs w:val="30"/>
        </w:rPr>
        <w:t>第八节  重要事项------------------------------第14页</w:t>
      </w:r>
    </w:p>
    <w:p w:rsidR="00447284" w:rsidRDefault="00447284">
      <w:pPr>
        <w:spacing w:line="360" w:lineRule="auto"/>
        <w:jc w:val="center"/>
        <w:rPr>
          <w:rFonts w:ascii="仿宋_GB2312" w:eastAsia="仿宋_GB2312" w:hint="eastAsia"/>
          <w:b/>
          <w:sz w:val="30"/>
          <w:szCs w:val="30"/>
        </w:rPr>
      </w:pPr>
    </w:p>
    <w:p w:rsidR="00447284" w:rsidRDefault="00447284">
      <w:pPr>
        <w:spacing w:line="360" w:lineRule="auto"/>
        <w:jc w:val="center"/>
        <w:rPr>
          <w:rFonts w:ascii="黑体" w:eastAsia="黑体" w:hint="eastAsia"/>
          <w:b/>
          <w:sz w:val="30"/>
          <w:szCs w:val="30"/>
        </w:rPr>
      </w:pPr>
      <w:r>
        <w:rPr>
          <w:rFonts w:ascii="仿宋_GB2312" w:eastAsia="仿宋_GB2312" w:hint="eastAsia"/>
          <w:b/>
          <w:sz w:val="36"/>
        </w:rPr>
        <w:br w:type="page"/>
      </w:r>
      <w:r>
        <w:rPr>
          <w:rFonts w:ascii="黑体" w:eastAsia="黑体" w:hint="eastAsia"/>
          <w:b/>
          <w:sz w:val="30"/>
          <w:szCs w:val="30"/>
        </w:rPr>
        <w:lastRenderedPageBreak/>
        <w:t>第一节  重要提示</w:t>
      </w:r>
    </w:p>
    <w:p w:rsidR="00447284" w:rsidRDefault="00447284">
      <w:pPr>
        <w:spacing w:line="360" w:lineRule="auto"/>
        <w:jc w:val="center"/>
        <w:rPr>
          <w:rFonts w:ascii="仿宋_GB2312" w:eastAsia="仿宋_GB2312" w:hint="eastAsia"/>
          <w:b/>
          <w:sz w:val="28"/>
        </w:rPr>
      </w:pPr>
    </w:p>
    <w:p w:rsidR="00447284" w:rsidRDefault="00447284">
      <w:pPr>
        <w:pStyle w:val="a3"/>
        <w:tabs>
          <w:tab w:val="left" w:pos="8640"/>
        </w:tabs>
        <w:spacing w:line="360" w:lineRule="auto"/>
        <w:ind w:firstLine="624"/>
        <w:rPr>
          <w:rFonts w:ascii="仿宋_GB2312" w:eastAsia="仿宋_GB2312" w:hAnsi="Times New Roman"/>
          <w:sz w:val="30"/>
          <w:szCs w:val="30"/>
        </w:rPr>
      </w:pPr>
      <w:r>
        <w:rPr>
          <w:rFonts w:ascii="仿宋_GB2312" w:eastAsia="仿宋_GB2312"/>
          <w:sz w:val="30"/>
          <w:szCs w:val="30"/>
        </w:rPr>
        <w:t>1、</w:t>
      </w:r>
      <w:r>
        <w:rPr>
          <w:rFonts w:ascii="仿宋_GB2312" w:eastAsia="仿宋_GB2312" w:hAnsi="Times New Roman"/>
          <w:sz w:val="30"/>
          <w:szCs w:val="30"/>
        </w:rPr>
        <w:t>本行董事会及董事保证本报告所载资料不存在任何虚假记载、误导性陈述或者重大遗漏，并对其内容的真实性、准确性和完整性承担个别及连带责任。</w:t>
      </w:r>
    </w:p>
    <w:p w:rsidR="00447284" w:rsidRDefault="00447284">
      <w:pPr>
        <w:pStyle w:val="a3"/>
        <w:tabs>
          <w:tab w:val="left" w:pos="8640"/>
        </w:tabs>
        <w:spacing w:line="360" w:lineRule="auto"/>
        <w:ind w:firstLine="624"/>
        <w:rPr>
          <w:rFonts w:ascii="仿宋_GB2312" w:eastAsia="仿宋_GB2312" w:hAnsi="Times New Roman"/>
          <w:sz w:val="30"/>
          <w:szCs w:val="30"/>
        </w:rPr>
      </w:pPr>
      <w:r>
        <w:rPr>
          <w:rFonts w:ascii="仿宋_GB2312" w:eastAsia="仿宋_GB2312" w:hAnsi="Times New Roman"/>
          <w:sz w:val="30"/>
          <w:szCs w:val="30"/>
        </w:rPr>
        <w:t>2、《20</w:t>
      </w:r>
      <w:r>
        <w:rPr>
          <w:rFonts w:ascii="仿宋_GB2312" w:eastAsia="仿宋_GB2312" w:hAnsi="Times New Roman" w:hint="eastAsia"/>
          <w:sz w:val="30"/>
          <w:szCs w:val="30"/>
        </w:rPr>
        <w:t>22</w:t>
      </w:r>
      <w:r>
        <w:rPr>
          <w:rFonts w:ascii="仿宋_GB2312" w:eastAsia="仿宋_GB2312" w:hAnsi="Times New Roman"/>
          <w:sz w:val="30"/>
          <w:szCs w:val="30"/>
        </w:rPr>
        <w:t>年年度报告》</w:t>
      </w:r>
      <w:r>
        <w:rPr>
          <w:rFonts w:ascii="仿宋_GB2312" w:eastAsia="仿宋_GB2312" w:hAnsi="Times New Roman" w:hint="eastAsia"/>
          <w:sz w:val="30"/>
          <w:szCs w:val="30"/>
        </w:rPr>
        <w:t>所载董事会议案及股东大会议案均已提交</w:t>
      </w:r>
      <w:r>
        <w:rPr>
          <w:rFonts w:ascii="仿宋_GB2312" w:eastAsia="仿宋_GB2312" w:hAnsi="Times New Roman"/>
          <w:sz w:val="30"/>
          <w:szCs w:val="30"/>
        </w:rPr>
        <w:t>本行</w:t>
      </w:r>
      <w:r>
        <w:rPr>
          <w:rFonts w:ascii="仿宋_GB2312" w:eastAsia="仿宋_GB2312" w:hAnsi="Times New Roman" w:hint="eastAsia"/>
          <w:sz w:val="30"/>
          <w:szCs w:val="30"/>
        </w:rPr>
        <w:t>董事会及</w:t>
      </w:r>
      <w:r>
        <w:rPr>
          <w:rFonts w:ascii="仿宋_GB2312" w:eastAsia="仿宋_GB2312" w:hAnsi="Times New Roman"/>
          <w:sz w:val="30"/>
          <w:szCs w:val="30"/>
        </w:rPr>
        <w:t>年度股东大会审议。</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本行董事长周仲奇，行长钱俊，财务负责人马莉保证年度报告中财务会计报告的真实、完整。</w:t>
      </w:r>
    </w:p>
    <w:p w:rsidR="00447284" w:rsidRDefault="00447284">
      <w:pPr>
        <w:spacing w:line="360" w:lineRule="auto"/>
        <w:jc w:val="center"/>
        <w:rPr>
          <w:rFonts w:ascii="黑体" w:eastAsia="黑体"/>
          <w:b/>
          <w:sz w:val="30"/>
          <w:szCs w:val="30"/>
        </w:rPr>
      </w:pPr>
      <w:r>
        <w:rPr>
          <w:rFonts w:ascii="黑体" w:eastAsia="黑体"/>
          <w:b/>
          <w:sz w:val="30"/>
          <w:szCs w:val="30"/>
        </w:rPr>
        <w:t>第二节  基本情况简介</w:t>
      </w:r>
    </w:p>
    <w:p w:rsidR="00447284" w:rsidRDefault="00447284">
      <w:pPr>
        <w:pStyle w:val="a3"/>
        <w:spacing w:line="360" w:lineRule="auto"/>
        <w:jc w:val="center"/>
        <w:rPr>
          <w:rFonts w:ascii="仿宋_GB2312" w:eastAsia="仿宋_GB2312" w:hAnsi="Times New Roman"/>
          <w:b/>
          <w:sz w:val="28"/>
        </w:rPr>
      </w:pPr>
    </w:p>
    <w:p w:rsidR="00447284" w:rsidRDefault="00447284">
      <w:pPr>
        <w:pStyle w:val="a3"/>
        <w:spacing w:line="360" w:lineRule="auto"/>
        <w:jc w:val="left"/>
        <w:rPr>
          <w:rFonts w:ascii="仿宋_GB2312" w:eastAsia="仿宋_GB2312" w:hAnsi="Times New Roman"/>
          <w:sz w:val="30"/>
          <w:szCs w:val="30"/>
        </w:rPr>
      </w:pPr>
      <w:r>
        <w:rPr>
          <w:rFonts w:ascii="仿宋_GB2312" w:eastAsia="仿宋_GB2312" w:hAnsi="Times New Roman"/>
          <w:sz w:val="30"/>
          <w:szCs w:val="30"/>
        </w:rPr>
        <w:t>【法定中文名称】 安徽</w:t>
      </w:r>
      <w:r>
        <w:rPr>
          <w:rFonts w:ascii="仿宋_GB2312" w:eastAsia="仿宋_GB2312" w:hAnsi="Times New Roman" w:hint="eastAsia"/>
          <w:sz w:val="30"/>
          <w:szCs w:val="30"/>
        </w:rPr>
        <w:t>霍邱联合</w:t>
      </w:r>
      <w:r>
        <w:rPr>
          <w:rFonts w:ascii="仿宋_GB2312" w:eastAsia="仿宋_GB2312" w:hAnsi="Times New Roman"/>
          <w:sz w:val="30"/>
          <w:szCs w:val="30"/>
        </w:rPr>
        <w:t>村镇银行股份有限公司</w:t>
      </w:r>
    </w:p>
    <w:p w:rsidR="00447284" w:rsidRDefault="00447284">
      <w:pPr>
        <w:autoSpaceDE w:val="0"/>
        <w:autoSpaceDN w:val="0"/>
        <w:adjustRightInd w:val="0"/>
        <w:spacing w:line="360" w:lineRule="auto"/>
        <w:ind w:right="-359"/>
        <w:jc w:val="left"/>
        <w:rPr>
          <w:rFonts w:ascii="仿宋_GB2312" w:eastAsia="仿宋_GB2312" w:cs="宋体" w:hint="eastAsia"/>
          <w:kern w:val="0"/>
          <w:sz w:val="30"/>
          <w:szCs w:val="30"/>
        </w:rPr>
      </w:pPr>
      <w:r>
        <w:rPr>
          <w:rFonts w:ascii="仿宋_GB2312" w:eastAsia="仿宋_GB2312" w:hint="eastAsia"/>
          <w:sz w:val="30"/>
          <w:szCs w:val="30"/>
        </w:rPr>
        <w:t>【法定英文名称】</w:t>
      </w:r>
      <w:r>
        <w:rPr>
          <w:rFonts w:ascii="仿宋_GB2312" w:eastAsia="仿宋_GB2312" w:hAnsi="宋体" w:hint="eastAsia"/>
          <w:color w:val="000000"/>
          <w:sz w:val="30"/>
          <w:szCs w:val="30"/>
        </w:rPr>
        <w:t xml:space="preserve">Anhui </w:t>
      </w:r>
      <w:proofErr w:type="spellStart"/>
      <w:r>
        <w:rPr>
          <w:rFonts w:ascii="仿宋_GB2312" w:eastAsia="仿宋_GB2312" w:hAnsi="宋体" w:hint="eastAsia"/>
          <w:color w:val="000000"/>
          <w:sz w:val="30"/>
          <w:szCs w:val="30"/>
        </w:rPr>
        <w:t>Huoqiu</w:t>
      </w:r>
      <w:proofErr w:type="spellEnd"/>
      <w:r>
        <w:rPr>
          <w:rFonts w:ascii="仿宋_GB2312" w:eastAsia="仿宋_GB2312" w:hAnsi="宋体" w:hint="eastAsia"/>
          <w:color w:val="000000"/>
          <w:sz w:val="30"/>
          <w:szCs w:val="30"/>
        </w:rPr>
        <w:t xml:space="preserve"> United Rural </w:t>
      </w:r>
      <w:r>
        <w:rPr>
          <w:rFonts w:ascii="仿宋_GB2312" w:eastAsia="仿宋_GB2312" w:hAnsi="宋体" w:hint="eastAsia"/>
          <w:color w:val="000000"/>
          <w:kern w:val="0"/>
          <w:sz w:val="30"/>
          <w:szCs w:val="30"/>
        </w:rPr>
        <w:t>Bank Co.，Ltd.</w:t>
      </w:r>
    </w:p>
    <w:p w:rsidR="00447284" w:rsidRDefault="00447284">
      <w:pPr>
        <w:autoSpaceDE w:val="0"/>
        <w:autoSpaceDN w:val="0"/>
        <w:adjustRightInd w:val="0"/>
        <w:spacing w:line="360" w:lineRule="auto"/>
        <w:jc w:val="left"/>
        <w:rPr>
          <w:rFonts w:ascii="仿宋_GB2312" w:eastAsia="仿宋_GB2312" w:cs="宋体" w:hint="eastAsia"/>
          <w:kern w:val="0"/>
          <w:sz w:val="30"/>
          <w:szCs w:val="30"/>
        </w:rPr>
      </w:pPr>
      <w:r>
        <w:rPr>
          <w:rFonts w:ascii="仿宋_GB2312" w:eastAsia="仿宋_GB2312" w:cs="宋体" w:hint="eastAsia"/>
          <w:kern w:val="0"/>
          <w:sz w:val="30"/>
          <w:szCs w:val="30"/>
        </w:rPr>
        <w:t xml:space="preserve">【法定英文简称】 </w:t>
      </w:r>
      <w:r>
        <w:rPr>
          <w:rFonts w:ascii="仿宋_GB2312" w:eastAsia="仿宋_GB2312" w:hint="eastAsia"/>
          <w:sz w:val="30"/>
          <w:szCs w:val="30"/>
        </w:rPr>
        <w:t xml:space="preserve">Anhui </w:t>
      </w:r>
      <w:proofErr w:type="spellStart"/>
      <w:r>
        <w:rPr>
          <w:rFonts w:ascii="仿宋_GB2312" w:eastAsia="仿宋_GB2312" w:hAnsi="宋体" w:hint="eastAsia"/>
          <w:color w:val="000000"/>
          <w:sz w:val="30"/>
          <w:szCs w:val="30"/>
        </w:rPr>
        <w:t>Huoqiu</w:t>
      </w:r>
      <w:proofErr w:type="spellEnd"/>
      <w:r>
        <w:rPr>
          <w:rFonts w:ascii="仿宋_GB2312" w:eastAsia="仿宋_GB2312" w:hAnsi="宋体" w:hint="eastAsia"/>
          <w:color w:val="000000"/>
          <w:sz w:val="30"/>
          <w:szCs w:val="30"/>
        </w:rPr>
        <w:t xml:space="preserve"> United Rural </w:t>
      </w:r>
      <w:r>
        <w:rPr>
          <w:rFonts w:ascii="仿宋_GB2312" w:eastAsia="仿宋_GB2312" w:hAnsi="宋体" w:hint="eastAsia"/>
          <w:color w:val="000000"/>
          <w:kern w:val="0"/>
          <w:sz w:val="30"/>
          <w:szCs w:val="30"/>
        </w:rPr>
        <w:t>Bank</w:t>
      </w:r>
    </w:p>
    <w:p w:rsidR="00447284" w:rsidRDefault="00447284">
      <w:pPr>
        <w:pStyle w:val="a3"/>
        <w:spacing w:line="360" w:lineRule="auto"/>
        <w:jc w:val="left"/>
        <w:rPr>
          <w:rFonts w:ascii="仿宋_GB2312" w:eastAsia="仿宋_GB2312" w:hAnsi="Times New Roman" w:hint="eastAsia"/>
          <w:sz w:val="30"/>
          <w:szCs w:val="30"/>
        </w:rPr>
      </w:pPr>
      <w:r>
        <w:rPr>
          <w:rFonts w:ascii="仿宋_GB2312" w:eastAsia="仿宋_GB2312" w:hAnsi="Times New Roman"/>
          <w:sz w:val="30"/>
          <w:szCs w:val="30"/>
        </w:rPr>
        <w:t>【法定代表人】</w:t>
      </w:r>
      <w:r>
        <w:rPr>
          <w:rFonts w:ascii="仿宋_GB2312" w:eastAsia="仿宋_GB2312" w:hAnsi="Times New Roman" w:hint="eastAsia"/>
          <w:sz w:val="30"/>
          <w:szCs w:val="30"/>
        </w:rPr>
        <w:t xml:space="preserve"> 周仲奇</w:t>
      </w:r>
    </w:p>
    <w:p w:rsidR="00447284" w:rsidRDefault="00447284">
      <w:pPr>
        <w:pStyle w:val="a3"/>
        <w:spacing w:line="360" w:lineRule="auto"/>
        <w:jc w:val="left"/>
        <w:rPr>
          <w:rFonts w:ascii="仿宋_GB2312" w:eastAsia="仿宋_GB2312" w:hAnsi="Times New Roman" w:hint="eastAsia"/>
          <w:sz w:val="30"/>
          <w:szCs w:val="30"/>
        </w:rPr>
      </w:pPr>
      <w:r>
        <w:rPr>
          <w:rFonts w:ascii="仿宋_GB2312" w:eastAsia="仿宋_GB2312"/>
          <w:sz w:val="30"/>
          <w:szCs w:val="30"/>
        </w:rPr>
        <w:t>【注册地址】</w:t>
      </w:r>
      <w:r>
        <w:rPr>
          <w:rFonts w:ascii="仿宋_GB2312" w:eastAsia="仿宋_GB2312" w:hint="eastAsia"/>
          <w:sz w:val="30"/>
          <w:szCs w:val="30"/>
        </w:rPr>
        <w:t>安徽省</w:t>
      </w:r>
      <w:r>
        <w:rPr>
          <w:rFonts w:ascii="仿宋_GB2312" w:eastAsia="仿宋_GB2312" w:hAnsi="宋体" w:hint="eastAsia"/>
          <w:kern w:val="0"/>
          <w:sz w:val="30"/>
          <w:szCs w:val="30"/>
        </w:rPr>
        <w:t>六安市霍邱县城关镇蓼城西路粮油交易中心大楼</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邮政编码：237</w:t>
      </w:r>
      <w:r>
        <w:rPr>
          <w:rFonts w:ascii="仿宋_GB2312" w:eastAsia="仿宋_GB2312" w:hAnsi="Times New Roman" w:hint="eastAsia"/>
          <w:sz w:val="30"/>
          <w:szCs w:val="30"/>
        </w:rPr>
        <w:t>4</w:t>
      </w:r>
      <w:r>
        <w:rPr>
          <w:rFonts w:ascii="仿宋_GB2312" w:eastAsia="仿宋_GB2312" w:hAnsi="Times New Roman"/>
          <w:sz w:val="30"/>
          <w:szCs w:val="30"/>
        </w:rPr>
        <w:t>00</w:t>
      </w:r>
    </w:p>
    <w:p w:rsidR="00447284" w:rsidRDefault="00447284">
      <w:pPr>
        <w:pStyle w:val="a3"/>
        <w:spacing w:line="360" w:lineRule="auto"/>
        <w:ind w:firstLineChars="200" w:firstLine="600"/>
        <w:rPr>
          <w:rFonts w:ascii="仿宋_GB2312" w:eastAsia="仿宋_GB2312" w:hAnsi="Times New Roman" w:hint="eastAsia"/>
          <w:sz w:val="30"/>
          <w:szCs w:val="30"/>
        </w:rPr>
      </w:pPr>
      <w:r>
        <w:rPr>
          <w:rFonts w:ascii="仿宋_GB2312" w:eastAsia="仿宋_GB2312" w:hAnsi="Times New Roman"/>
          <w:sz w:val="30"/>
          <w:szCs w:val="30"/>
        </w:rPr>
        <w:t>联系电话：0564-</w:t>
      </w:r>
      <w:r>
        <w:rPr>
          <w:rFonts w:ascii="仿宋_GB2312" w:eastAsia="仿宋_GB2312" w:hAnsi="Times New Roman" w:hint="eastAsia"/>
          <w:sz w:val="30"/>
          <w:szCs w:val="30"/>
        </w:rPr>
        <w:t>6090031</w:t>
      </w:r>
    </w:p>
    <w:p w:rsidR="00447284" w:rsidRDefault="00447284">
      <w:pPr>
        <w:pStyle w:val="a3"/>
        <w:spacing w:line="360" w:lineRule="auto"/>
        <w:ind w:firstLineChars="200" w:firstLine="600"/>
        <w:rPr>
          <w:rFonts w:ascii="仿宋_GB2312" w:eastAsia="仿宋_GB2312" w:hAnsi="Times New Roman" w:hint="eastAsia"/>
          <w:sz w:val="30"/>
          <w:szCs w:val="30"/>
        </w:rPr>
      </w:pPr>
      <w:r>
        <w:rPr>
          <w:rFonts w:ascii="仿宋_GB2312" w:eastAsia="仿宋_GB2312" w:hAnsi="Times New Roman"/>
          <w:sz w:val="30"/>
          <w:szCs w:val="30"/>
        </w:rPr>
        <w:t>传真：0564-</w:t>
      </w:r>
      <w:r>
        <w:rPr>
          <w:rFonts w:ascii="仿宋_GB2312" w:eastAsia="仿宋_GB2312" w:hAnsi="Times New Roman" w:hint="eastAsia"/>
          <w:sz w:val="30"/>
          <w:szCs w:val="30"/>
        </w:rPr>
        <w:t>6090029</w:t>
      </w:r>
    </w:p>
    <w:p w:rsidR="00447284" w:rsidRDefault="00447284">
      <w:pPr>
        <w:pStyle w:val="a3"/>
        <w:spacing w:line="360" w:lineRule="auto"/>
        <w:ind w:firstLineChars="200" w:firstLine="600"/>
        <w:rPr>
          <w:rFonts w:ascii="仿宋_GB2312" w:eastAsia="仿宋_GB2312" w:hint="eastAsia"/>
          <w:color w:val="000000"/>
          <w:sz w:val="30"/>
          <w:szCs w:val="30"/>
        </w:rPr>
      </w:pPr>
      <w:r>
        <w:rPr>
          <w:rFonts w:ascii="仿宋_GB2312" w:eastAsia="仿宋_GB2312" w:hAnsi="Times New Roman"/>
          <w:sz w:val="30"/>
          <w:szCs w:val="30"/>
        </w:rPr>
        <w:t>网址：</w:t>
      </w:r>
      <w:r>
        <w:rPr>
          <w:rFonts w:ascii="仿宋_GB2312" w:eastAsia="仿宋_GB2312"/>
          <w:color w:val="000000"/>
          <w:sz w:val="30"/>
          <w:szCs w:val="30"/>
        </w:rPr>
        <w:t>http://www.</w:t>
      </w:r>
      <w:r>
        <w:rPr>
          <w:rFonts w:ascii="仿宋_GB2312" w:eastAsia="仿宋_GB2312" w:hint="eastAsia"/>
          <w:color w:val="000000"/>
          <w:sz w:val="30"/>
          <w:szCs w:val="30"/>
        </w:rPr>
        <w:t>hqurb</w:t>
      </w:r>
      <w:r>
        <w:rPr>
          <w:rFonts w:ascii="仿宋_GB2312" w:eastAsia="仿宋_GB2312"/>
          <w:color w:val="000000"/>
          <w:sz w:val="30"/>
          <w:szCs w:val="30"/>
        </w:rPr>
        <w:t>.c</w:t>
      </w:r>
      <w:r>
        <w:rPr>
          <w:rFonts w:ascii="仿宋_GB2312" w:eastAsia="仿宋_GB2312" w:hint="eastAsia"/>
          <w:color w:val="000000"/>
          <w:sz w:val="30"/>
          <w:szCs w:val="30"/>
        </w:rPr>
        <w:t>om</w:t>
      </w:r>
    </w:p>
    <w:p w:rsidR="00447284" w:rsidRDefault="00447284">
      <w:pPr>
        <w:pStyle w:val="a3"/>
        <w:spacing w:line="360" w:lineRule="auto"/>
        <w:ind w:firstLineChars="200" w:firstLine="600"/>
        <w:rPr>
          <w:rFonts w:ascii="仿宋_GB2312" w:eastAsia="仿宋_GB2312"/>
          <w:sz w:val="30"/>
          <w:szCs w:val="30"/>
        </w:rPr>
      </w:pPr>
      <w:r>
        <w:rPr>
          <w:rFonts w:ascii="仿宋_GB2312" w:eastAsia="仿宋_GB2312" w:hAnsi="Times New Roman"/>
          <w:sz w:val="30"/>
          <w:szCs w:val="30"/>
        </w:rPr>
        <w:lastRenderedPageBreak/>
        <w:t>【主营业务范围】  吸收公众存款</w:t>
      </w:r>
      <w:r>
        <w:rPr>
          <w:rFonts w:ascii="仿宋_GB2312" w:eastAsia="仿宋_GB2312" w:hAnsi="Times New Roman" w:hint="eastAsia"/>
          <w:sz w:val="30"/>
          <w:szCs w:val="30"/>
        </w:rPr>
        <w:t>；</w:t>
      </w:r>
      <w:r>
        <w:rPr>
          <w:rFonts w:ascii="仿宋_GB2312" w:eastAsia="仿宋_GB2312" w:hAnsi="Times New Roman"/>
          <w:sz w:val="30"/>
          <w:szCs w:val="30"/>
        </w:rPr>
        <w:t>发放短期、中期和长期贷款；办理国内结算；办理票据承兑与贴现；从事</w:t>
      </w:r>
      <w:r>
        <w:rPr>
          <w:rFonts w:ascii="仿宋_GB2312" w:eastAsia="仿宋_GB2312" w:hAnsi="Times New Roman" w:hint="eastAsia"/>
          <w:sz w:val="30"/>
          <w:szCs w:val="30"/>
        </w:rPr>
        <w:t>银行卡业务；从事同业拆借；代理发行、代理兑付、承销政府债券；代理收付款项及代理保险业务；经国务院银行业监督管理机构批准的其他业务</w:t>
      </w:r>
      <w:r>
        <w:rPr>
          <w:rFonts w:ascii="仿宋_GB2312" w:eastAsia="仿宋_GB2312" w:hAnsi="Times New Roman"/>
          <w:sz w:val="30"/>
          <w:szCs w:val="30"/>
        </w:rPr>
        <w:t>。</w:t>
      </w:r>
    </w:p>
    <w:p w:rsidR="00447284" w:rsidRDefault="00447284">
      <w:pPr>
        <w:pStyle w:val="a3"/>
        <w:spacing w:line="360" w:lineRule="auto"/>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Ansi="Times New Roman"/>
          <w:sz w:val="30"/>
          <w:szCs w:val="30"/>
        </w:rPr>
        <w:t>其他相关资料</w:t>
      </w:r>
      <w:r>
        <w:rPr>
          <w:rFonts w:ascii="仿宋_GB2312" w:eastAsia="仿宋_GB2312"/>
          <w:sz w:val="30"/>
          <w:szCs w:val="30"/>
        </w:rPr>
        <w:t>】</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首次注册登记日期：201</w:t>
      </w:r>
      <w:r>
        <w:rPr>
          <w:rFonts w:ascii="仿宋_GB2312" w:eastAsia="仿宋_GB2312" w:hAnsi="Times New Roman" w:hint="eastAsia"/>
          <w:sz w:val="30"/>
          <w:szCs w:val="30"/>
        </w:rPr>
        <w:t>3</w:t>
      </w:r>
      <w:r>
        <w:rPr>
          <w:rFonts w:ascii="仿宋_GB2312" w:eastAsia="仿宋_GB2312" w:hAnsi="Times New Roman"/>
          <w:sz w:val="30"/>
          <w:szCs w:val="30"/>
        </w:rPr>
        <w:t>年0</w:t>
      </w:r>
      <w:r>
        <w:rPr>
          <w:rFonts w:ascii="仿宋_GB2312" w:eastAsia="仿宋_GB2312" w:hAnsi="Times New Roman" w:hint="eastAsia"/>
          <w:sz w:val="30"/>
          <w:szCs w:val="30"/>
        </w:rPr>
        <w:t>5</w:t>
      </w:r>
      <w:r>
        <w:rPr>
          <w:rFonts w:ascii="仿宋_GB2312" w:eastAsia="仿宋_GB2312" w:hAnsi="Times New Roman"/>
          <w:sz w:val="30"/>
          <w:szCs w:val="30"/>
        </w:rPr>
        <w:t>月</w:t>
      </w:r>
      <w:r>
        <w:rPr>
          <w:rFonts w:ascii="仿宋_GB2312" w:eastAsia="仿宋_GB2312" w:hAnsi="Times New Roman" w:hint="eastAsia"/>
          <w:sz w:val="30"/>
          <w:szCs w:val="30"/>
        </w:rPr>
        <w:t>06</w:t>
      </w:r>
      <w:r>
        <w:rPr>
          <w:rFonts w:ascii="仿宋_GB2312" w:eastAsia="仿宋_GB2312" w:hAnsi="Times New Roman"/>
          <w:sz w:val="30"/>
          <w:szCs w:val="30"/>
        </w:rPr>
        <w:t>日</w:t>
      </w:r>
    </w:p>
    <w:p w:rsidR="00447284" w:rsidRDefault="00447284">
      <w:pPr>
        <w:pStyle w:val="a3"/>
        <w:spacing w:line="360" w:lineRule="auto"/>
        <w:ind w:firstLineChars="200" w:firstLine="600"/>
        <w:rPr>
          <w:rFonts w:ascii="仿宋_GB2312" w:eastAsia="仿宋_GB2312" w:hAnsi="宋体"/>
          <w:sz w:val="30"/>
          <w:szCs w:val="30"/>
        </w:rPr>
      </w:pPr>
      <w:r>
        <w:rPr>
          <w:rFonts w:ascii="仿宋_GB2312" w:eastAsia="仿宋_GB2312" w:hAnsi="Times New Roman"/>
          <w:sz w:val="30"/>
          <w:szCs w:val="30"/>
        </w:rPr>
        <w:t>地点：</w:t>
      </w:r>
      <w:r>
        <w:rPr>
          <w:rFonts w:ascii="仿宋_GB2312" w:eastAsia="仿宋_GB2312" w:hAnsi="Times New Roman" w:hint="eastAsia"/>
          <w:sz w:val="30"/>
          <w:szCs w:val="30"/>
        </w:rPr>
        <w:t>六安市霍邱县城关镇蓼城西路粮油交易中心大楼</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注册资本：人民币</w:t>
      </w:r>
      <w:r>
        <w:rPr>
          <w:rFonts w:ascii="仿宋_GB2312" w:eastAsia="仿宋_GB2312" w:hAnsi="Times New Roman" w:hint="eastAsia"/>
          <w:sz w:val="30"/>
          <w:szCs w:val="30"/>
        </w:rPr>
        <w:t>柒</w:t>
      </w:r>
      <w:r>
        <w:rPr>
          <w:rFonts w:ascii="仿宋_GB2312" w:eastAsia="仿宋_GB2312" w:hAnsi="Times New Roman"/>
          <w:sz w:val="30"/>
          <w:szCs w:val="30"/>
        </w:rPr>
        <w:t>仟万元整</w:t>
      </w:r>
    </w:p>
    <w:p w:rsidR="00447284" w:rsidRDefault="00447284">
      <w:pPr>
        <w:pStyle w:val="a3"/>
        <w:spacing w:line="360" w:lineRule="auto"/>
        <w:ind w:firstLineChars="200" w:firstLine="600"/>
        <w:rPr>
          <w:rFonts w:ascii="仿宋_GB2312" w:eastAsia="仿宋_GB2312" w:hAnsi="Times New Roman" w:hint="eastAsia"/>
          <w:sz w:val="30"/>
          <w:szCs w:val="30"/>
        </w:rPr>
      </w:pPr>
      <w:r>
        <w:rPr>
          <w:rFonts w:ascii="仿宋_GB2312" w:eastAsia="仿宋_GB2312" w:hAnsi="Times New Roman" w:hint="eastAsia"/>
          <w:sz w:val="30"/>
          <w:szCs w:val="30"/>
        </w:rPr>
        <w:t>统一社会信用代码：91341500068072254X</w:t>
      </w:r>
    </w:p>
    <w:p w:rsidR="00447284" w:rsidRDefault="00447284">
      <w:pPr>
        <w:pStyle w:val="a3"/>
        <w:spacing w:line="360" w:lineRule="auto"/>
        <w:ind w:firstLineChars="200" w:firstLine="600"/>
        <w:rPr>
          <w:rFonts w:ascii="仿宋_GB2312" w:eastAsia="仿宋_GB2312" w:hAnsi="Times New Roman" w:hint="eastAsia"/>
          <w:sz w:val="30"/>
          <w:szCs w:val="30"/>
        </w:rPr>
      </w:pPr>
      <w:r>
        <w:rPr>
          <w:rFonts w:ascii="仿宋_GB2312" w:eastAsia="仿宋_GB2312" w:hAnsi="Times New Roman"/>
          <w:sz w:val="30"/>
          <w:szCs w:val="30"/>
        </w:rPr>
        <w:t>聘请的审计机构名称：</w:t>
      </w:r>
      <w:r>
        <w:rPr>
          <w:rFonts w:ascii="仿宋_GB2312" w:eastAsia="仿宋_GB2312" w:hAnsi="Times New Roman" w:hint="eastAsia"/>
          <w:sz w:val="30"/>
          <w:szCs w:val="30"/>
        </w:rPr>
        <w:t>上会会计师事务所（特殊普通合伙）</w:t>
      </w:r>
    </w:p>
    <w:p w:rsidR="00447284" w:rsidRDefault="00447284">
      <w:pPr>
        <w:pStyle w:val="a3"/>
        <w:spacing w:line="360" w:lineRule="auto"/>
        <w:ind w:firstLineChars="200" w:firstLine="600"/>
        <w:jc w:val="left"/>
        <w:rPr>
          <w:rFonts w:ascii="仿宋_GB2312" w:eastAsia="仿宋_GB2312" w:hAnsi="宋体" w:cs="仿宋_GB2312"/>
          <w:sz w:val="30"/>
          <w:szCs w:val="30"/>
        </w:rPr>
      </w:pPr>
      <w:r>
        <w:rPr>
          <w:rFonts w:ascii="仿宋_GB2312" w:eastAsia="仿宋_GB2312" w:hAnsi="宋体" w:cs="仿宋_GB2312"/>
          <w:sz w:val="30"/>
          <w:szCs w:val="30"/>
        </w:rPr>
        <w:t>【部门设置】</w:t>
      </w:r>
    </w:p>
    <w:p w:rsidR="00447284" w:rsidRDefault="00447284">
      <w:pPr>
        <w:pStyle w:val="a3"/>
        <w:spacing w:line="360" w:lineRule="auto"/>
        <w:ind w:firstLineChars="200" w:firstLine="600"/>
        <w:jc w:val="left"/>
        <w:rPr>
          <w:rFonts w:ascii="仿宋_GB2312" w:eastAsia="仿宋_GB2312" w:hint="eastAsia"/>
          <w:sz w:val="32"/>
          <w:szCs w:val="30"/>
        </w:rPr>
      </w:pPr>
      <w:r>
        <w:rPr>
          <w:rFonts w:ascii="仿宋_GB2312" w:eastAsia="仿宋_GB2312" w:hAnsi="宋体" w:cs="仿宋_GB2312"/>
          <w:sz w:val="30"/>
          <w:szCs w:val="30"/>
        </w:rPr>
        <w:t>本行除设董事长室、行长室</w:t>
      </w:r>
      <w:r>
        <w:rPr>
          <w:rFonts w:ascii="仿宋_GB2312" w:eastAsia="仿宋_GB2312" w:hAnsi="宋体" w:cs="仿宋_GB2312" w:hint="eastAsia"/>
          <w:sz w:val="30"/>
          <w:szCs w:val="30"/>
        </w:rPr>
        <w:t>、行长助理室</w:t>
      </w:r>
      <w:r>
        <w:rPr>
          <w:rFonts w:ascii="仿宋_GB2312" w:eastAsia="仿宋_GB2312" w:hAnsi="宋体" w:cs="仿宋_GB2312"/>
          <w:sz w:val="30"/>
          <w:szCs w:val="30"/>
        </w:rPr>
        <w:t>外，另设</w:t>
      </w:r>
      <w:r>
        <w:rPr>
          <w:rFonts w:ascii="仿宋_GB2312" w:eastAsia="仿宋_GB2312" w:hAnsi="宋体" w:cs="仿宋_GB2312" w:hint="eastAsia"/>
          <w:sz w:val="30"/>
          <w:szCs w:val="30"/>
        </w:rPr>
        <w:t>4</w:t>
      </w:r>
      <w:r>
        <w:rPr>
          <w:rFonts w:ascii="仿宋_GB2312" w:eastAsia="仿宋_GB2312" w:hAnsi="宋体" w:cs="仿宋_GB2312"/>
          <w:sz w:val="30"/>
          <w:szCs w:val="30"/>
        </w:rPr>
        <w:t>个职能部门。</w:t>
      </w:r>
      <w:r>
        <w:rPr>
          <w:rFonts w:ascii="仿宋_GB2312" w:eastAsia="仿宋_GB2312" w:hAnsi="宋体" w:cs="仿宋_GB2312" w:hint="eastAsia"/>
          <w:sz w:val="30"/>
          <w:szCs w:val="30"/>
        </w:rPr>
        <w:t>包括总行营业部、内控合规管理部、综合管理部、业务管理部</w:t>
      </w:r>
      <w:r>
        <w:rPr>
          <w:rFonts w:ascii="仿宋_GB2312" w:eastAsia="仿宋_GB2312" w:hAnsi="宋体" w:cs="仿宋_GB2312"/>
          <w:sz w:val="30"/>
          <w:szCs w:val="30"/>
        </w:rPr>
        <w:t>。</w:t>
      </w:r>
      <w:r>
        <w:rPr>
          <w:rFonts w:ascii="仿宋_GB2312" w:eastAsia="仿宋_GB2312" w:hint="eastAsia"/>
          <w:sz w:val="30"/>
          <w:szCs w:val="30"/>
        </w:rPr>
        <w:t>截至2022年12月31日，本行设立支行3家，分别为长集支行、姚李支行、卧阳路支行,设便民服务点1家，为马店金融服务便民点</w:t>
      </w:r>
      <w:r>
        <w:rPr>
          <w:rFonts w:ascii="仿宋_GB2312" w:eastAsia="仿宋_GB2312" w:hint="eastAsia"/>
          <w:sz w:val="32"/>
          <w:szCs w:val="30"/>
        </w:rPr>
        <w:t>。</w:t>
      </w:r>
    </w:p>
    <w:p w:rsidR="00447284" w:rsidRDefault="00447284">
      <w:pPr>
        <w:spacing w:line="360" w:lineRule="auto"/>
        <w:jc w:val="center"/>
        <w:rPr>
          <w:rFonts w:ascii="黑体" w:eastAsia="黑体"/>
          <w:b/>
          <w:sz w:val="30"/>
          <w:szCs w:val="30"/>
        </w:rPr>
      </w:pPr>
      <w:r>
        <w:rPr>
          <w:rFonts w:ascii="黑体" w:eastAsia="黑体"/>
          <w:b/>
          <w:sz w:val="30"/>
          <w:szCs w:val="30"/>
        </w:rPr>
        <w:t>第三节   股本变动及股东情况</w:t>
      </w:r>
    </w:p>
    <w:p w:rsidR="00447284" w:rsidRDefault="00447284">
      <w:pPr>
        <w:pStyle w:val="a3"/>
        <w:spacing w:line="360" w:lineRule="auto"/>
        <w:ind w:firstLineChars="196" w:firstLine="588"/>
        <w:rPr>
          <w:rFonts w:ascii="仿宋_GB2312" w:eastAsia="仿宋_GB2312" w:hAnsi="Times New Roman"/>
          <w:sz w:val="30"/>
          <w:szCs w:val="30"/>
        </w:rPr>
      </w:pPr>
      <w:r>
        <w:rPr>
          <w:rFonts w:ascii="仿宋_GB2312" w:eastAsia="仿宋_GB2312" w:hAnsi="Times New Roman"/>
          <w:sz w:val="30"/>
          <w:szCs w:val="30"/>
        </w:rPr>
        <w:t>一、股本情况</w:t>
      </w:r>
    </w:p>
    <w:p w:rsidR="00447284" w:rsidRDefault="00447284">
      <w:pPr>
        <w:pStyle w:val="Default"/>
        <w:spacing w:line="360" w:lineRule="auto"/>
        <w:ind w:firstLineChars="200" w:firstLine="600"/>
        <w:jc w:val="both"/>
        <w:rPr>
          <w:rFonts w:ascii="仿宋_GB2312" w:eastAsia="仿宋_GB2312" w:hAnsi="Courier New" w:cs="Times New Roman"/>
          <w:color w:val="auto"/>
          <w:kern w:val="2"/>
          <w:sz w:val="30"/>
          <w:szCs w:val="30"/>
        </w:rPr>
      </w:pPr>
      <w:r>
        <w:rPr>
          <w:rFonts w:ascii="仿宋_GB2312" w:eastAsia="仿宋_GB2312" w:hAnsi="Courier New" w:cs="Times New Roman" w:hint="eastAsia"/>
          <w:color w:val="auto"/>
          <w:kern w:val="2"/>
          <w:sz w:val="30"/>
          <w:szCs w:val="30"/>
        </w:rPr>
        <w:t>本行发起设立的总股本7000万股。法人股6658万股，个人股342万股。报告期内本行股东无变动。</w:t>
      </w:r>
      <w:r>
        <w:rPr>
          <w:rFonts w:ascii="仿宋_GB2312" w:eastAsia="仿宋_GB2312" w:hAnsi="Courier New" w:cs="Times New Roman"/>
          <w:color w:val="auto"/>
          <w:kern w:val="2"/>
          <w:sz w:val="30"/>
          <w:szCs w:val="30"/>
        </w:rPr>
        <w:t xml:space="preserve"> </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lastRenderedPageBreak/>
        <w:t>二、股东情况</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（一）</w:t>
      </w:r>
      <w:r>
        <w:rPr>
          <w:rFonts w:ascii="仿宋_GB2312" w:eastAsia="仿宋_GB2312"/>
          <w:sz w:val="30"/>
          <w:szCs w:val="30"/>
        </w:rPr>
        <w:t>至20</w:t>
      </w:r>
      <w:r>
        <w:rPr>
          <w:rFonts w:ascii="仿宋_GB2312" w:eastAsia="仿宋_GB2312" w:hint="eastAsia"/>
          <w:sz w:val="30"/>
          <w:szCs w:val="30"/>
        </w:rPr>
        <w:t>22</w:t>
      </w:r>
      <w:r>
        <w:rPr>
          <w:rFonts w:ascii="仿宋_GB2312" w:eastAsia="仿宋_GB2312"/>
          <w:sz w:val="30"/>
          <w:szCs w:val="30"/>
        </w:rPr>
        <w:t>年末股东总数</w:t>
      </w:r>
      <w:r>
        <w:rPr>
          <w:rFonts w:ascii="仿宋_GB2312" w:eastAsia="仿宋_GB2312" w:hint="eastAsia"/>
          <w:sz w:val="30"/>
          <w:szCs w:val="30"/>
        </w:rPr>
        <w:t>14</w:t>
      </w:r>
      <w:r>
        <w:rPr>
          <w:rFonts w:ascii="仿宋_GB2312" w:eastAsia="仿宋_GB2312"/>
          <w:sz w:val="30"/>
          <w:szCs w:val="30"/>
        </w:rPr>
        <w:t>户。其中法人股</w:t>
      </w:r>
      <w:r>
        <w:rPr>
          <w:rFonts w:ascii="仿宋_GB2312" w:eastAsia="仿宋_GB2312" w:hint="eastAsia"/>
          <w:sz w:val="30"/>
          <w:szCs w:val="30"/>
        </w:rPr>
        <w:t>10</w:t>
      </w:r>
      <w:r>
        <w:rPr>
          <w:rFonts w:ascii="仿宋_GB2312" w:eastAsia="仿宋_GB2312"/>
          <w:sz w:val="30"/>
          <w:szCs w:val="30"/>
        </w:rPr>
        <w:t>户。</w:t>
      </w:r>
    </w:p>
    <w:p w:rsidR="00447284" w:rsidRDefault="00447284">
      <w:pPr>
        <w:pStyle w:val="a3"/>
        <w:spacing w:line="360" w:lineRule="auto"/>
        <w:ind w:firstLineChars="200" w:firstLine="600"/>
        <w:rPr>
          <w:rFonts w:ascii="仿宋_GB2312" w:eastAsia="仿宋_GB2312" w:hAnsi="Times New Roman"/>
          <w:sz w:val="30"/>
          <w:szCs w:val="30"/>
        </w:rPr>
      </w:pPr>
      <w:r>
        <w:rPr>
          <w:rFonts w:ascii="仿宋_GB2312" w:eastAsia="仿宋_GB2312" w:hAnsi="Times New Roman"/>
          <w:sz w:val="30"/>
          <w:szCs w:val="30"/>
        </w:rPr>
        <w:t>（二）企业法人股东持股</w:t>
      </w:r>
      <w:r>
        <w:rPr>
          <w:rFonts w:ascii="仿宋_GB2312" w:eastAsia="仿宋_GB2312" w:hAnsi="Times New Roman" w:hint="eastAsia"/>
          <w:sz w:val="30"/>
          <w:szCs w:val="30"/>
        </w:rPr>
        <w:t>6658</w:t>
      </w:r>
      <w:r>
        <w:rPr>
          <w:rFonts w:ascii="仿宋_GB2312" w:eastAsia="仿宋_GB2312" w:hAnsi="Times New Roman"/>
          <w:sz w:val="30"/>
          <w:szCs w:val="30"/>
        </w:rPr>
        <w:t>万元，占总股本的</w:t>
      </w:r>
      <w:r>
        <w:rPr>
          <w:rFonts w:ascii="仿宋_GB2312" w:eastAsia="仿宋_GB2312" w:hAnsi="Times New Roman" w:hint="eastAsia"/>
          <w:sz w:val="30"/>
          <w:szCs w:val="30"/>
        </w:rPr>
        <w:t>95.11</w:t>
      </w:r>
      <w:r>
        <w:rPr>
          <w:rFonts w:ascii="仿宋_GB2312" w:eastAsia="仿宋_GB2312" w:hAnsi="Times New Roman"/>
          <w:sz w:val="30"/>
          <w:szCs w:val="30"/>
        </w:rPr>
        <w:t>%。</w:t>
      </w:r>
    </w:p>
    <w:p w:rsidR="00447284" w:rsidRDefault="00447284">
      <w:pPr>
        <w:pStyle w:val="a3"/>
        <w:spacing w:line="360" w:lineRule="auto"/>
        <w:ind w:firstLineChars="200" w:firstLine="560"/>
        <w:rPr>
          <w:rFonts w:ascii="仿宋_GB2312" w:eastAsia="仿宋_GB2312" w:hAnsi="Times New Roman"/>
          <w:sz w:val="24"/>
          <w:szCs w:val="24"/>
        </w:rPr>
      </w:pPr>
      <w:r>
        <w:rPr>
          <w:rFonts w:ascii="仿宋_GB2312" w:eastAsia="仿宋_GB2312" w:hAnsi="Times New Roman"/>
          <w:sz w:val="28"/>
        </w:rPr>
        <w:t xml:space="preserve">                                    　　   </w:t>
      </w:r>
      <w:r>
        <w:rPr>
          <w:rFonts w:ascii="仿宋_GB2312" w:eastAsia="仿宋_GB2312" w:hAnsi="Times New Roman"/>
        </w:rPr>
        <w:t xml:space="preserve">　</w:t>
      </w:r>
      <w:r>
        <w:rPr>
          <w:rFonts w:ascii="仿宋_GB2312" w:eastAsia="仿宋_GB2312" w:hAnsi="Times New Roman"/>
          <w:sz w:val="24"/>
          <w:szCs w:val="24"/>
        </w:rPr>
        <w:t>单位：万元</w:t>
      </w:r>
    </w:p>
    <w:tbl>
      <w:tblPr>
        <w:tblW w:w="8667" w:type="dxa"/>
        <w:tblInd w:w="93" w:type="dxa"/>
        <w:tblLook w:val="0000"/>
      </w:tblPr>
      <w:tblGrid>
        <w:gridCol w:w="2746"/>
        <w:gridCol w:w="3122"/>
        <w:gridCol w:w="1425"/>
        <w:gridCol w:w="1374"/>
      </w:tblGrid>
      <w:tr w:rsidR="00447284">
        <w:trPr>
          <w:trHeight w:val="612"/>
        </w:trPr>
        <w:tc>
          <w:tcPr>
            <w:tcW w:w="2746" w:type="dxa"/>
            <w:tcBorders>
              <w:top w:val="single" w:sz="4" w:space="0" w:color="auto"/>
              <w:left w:val="single" w:sz="4" w:space="0" w:color="auto"/>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名称</w:t>
            </w:r>
          </w:p>
        </w:tc>
        <w:tc>
          <w:tcPr>
            <w:tcW w:w="3122" w:type="dxa"/>
            <w:tcBorders>
              <w:top w:val="single" w:sz="4" w:space="0" w:color="auto"/>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住所</w:t>
            </w:r>
          </w:p>
        </w:tc>
        <w:tc>
          <w:tcPr>
            <w:tcW w:w="1425" w:type="dxa"/>
            <w:tcBorders>
              <w:top w:val="single" w:sz="4" w:space="0" w:color="auto"/>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持股数</w:t>
            </w:r>
          </w:p>
        </w:tc>
        <w:tc>
          <w:tcPr>
            <w:tcW w:w="1374" w:type="dxa"/>
            <w:tcBorders>
              <w:top w:val="single" w:sz="4" w:space="0" w:color="auto"/>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占比</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杭州联合农村商业银行股份有限公司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浙江省杭州市上城区建国中路99号</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2800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40</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寿县寿州时代广场超市有限公司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安徽省淮南市寿县寿春镇十字街口东南侧原百货大楼</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695</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9.93</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安徽盛华橡塑有限公司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霍邱县乌龙镇陡岗村</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698</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9.93</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天铭嘉业文化传媒投资有限公司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北京市朝阳区光华路22号12层2单元1505室</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600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8.57</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诸暨市长途汽车运输有限公司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诸暨市暨阳街道暨东路38号</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400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5.71</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杭州杰仕钢铁有限公司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杭州市下城区庆春路118号嘉德广场608室</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400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5.71</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霍邱县亨兴工艺品有限公司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安徽省六安市霍邱县临水镇</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368</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5.25</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霍邱县金海家电有限责任公司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城关光明大道北段</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4.29</w:t>
            </w:r>
          </w:p>
        </w:tc>
      </w:tr>
      <w:tr w:rsidR="00447284">
        <w:trPr>
          <w:trHeight w:val="802"/>
        </w:trPr>
        <w:tc>
          <w:tcPr>
            <w:tcW w:w="2746" w:type="dxa"/>
            <w:tcBorders>
              <w:top w:val="single" w:sz="4" w:space="0" w:color="auto"/>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安徽家之都商厦有限公司</w:t>
            </w:r>
          </w:p>
        </w:tc>
        <w:tc>
          <w:tcPr>
            <w:tcW w:w="3122" w:type="dxa"/>
            <w:tcBorders>
              <w:top w:val="single" w:sz="4" w:space="0" w:color="auto"/>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城关光明大道新街口</w:t>
            </w:r>
          </w:p>
        </w:tc>
        <w:tc>
          <w:tcPr>
            <w:tcW w:w="1425" w:type="dxa"/>
            <w:tcBorders>
              <w:top w:val="single" w:sz="4" w:space="0" w:color="auto"/>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200</w:t>
            </w:r>
          </w:p>
        </w:tc>
        <w:tc>
          <w:tcPr>
            <w:tcW w:w="1374" w:type="dxa"/>
            <w:tcBorders>
              <w:top w:val="single" w:sz="4" w:space="0" w:color="auto"/>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2.86</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霍邱县荣芳米业有限公司</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孟集镇街道</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2.86</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费传军</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城关光明大道北段</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2.86</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张超</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安徽省六安市裕安区磨子潭路20号</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132</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1.89</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段宗华</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安徽省寿县寿春镇建设街道建设选区9组64号</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0.07</w:t>
            </w:r>
          </w:p>
        </w:tc>
      </w:tr>
      <w:tr w:rsidR="00447284">
        <w:trPr>
          <w:trHeight w:val="802"/>
        </w:trPr>
        <w:tc>
          <w:tcPr>
            <w:tcW w:w="2746" w:type="dxa"/>
            <w:tcBorders>
              <w:top w:val="nil"/>
              <w:left w:val="single" w:sz="4" w:space="0" w:color="auto"/>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裴尔辉</w:t>
            </w:r>
          </w:p>
        </w:tc>
        <w:tc>
          <w:tcPr>
            <w:tcW w:w="3122" w:type="dxa"/>
            <w:tcBorders>
              <w:top w:val="nil"/>
              <w:left w:val="nil"/>
              <w:bottom w:val="single" w:sz="4" w:space="0" w:color="auto"/>
              <w:right w:val="single" w:sz="4" w:space="0" w:color="auto"/>
            </w:tcBorders>
            <w:vAlign w:val="center"/>
          </w:tcPr>
          <w:p w:rsidR="00447284" w:rsidRDefault="0044728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霍邱县 城关镇</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5</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0.07</w:t>
            </w:r>
          </w:p>
        </w:tc>
      </w:tr>
      <w:tr w:rsidR="00447284">
        <w:trPr>
          <w:trHeight w:val="588"/>
        </w:trPr>
        <w:tc>
          <w:tcPr>
            <w:tcW w:w="5868" w:type="dxa"/>
            <w:gridSpan w:val="2"/>
            <w:tcBorders>
              <w:top w:val="single" w:sz="4" w:space="0" w:color="auto"/>
              <w:left w:val="single" w:sz="4" w:space="0" w:color="auto"/>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合  计</w:t>
            </w:r>
          </w:p>
        </w:tc>
        <w:tc>
          <w:tcPr>
            <w:tcW w:w="1425"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7000</w:t>
            </w:r>
          </w:p>
        </w:tc>
        <w:tc>
          <w:tcPr>
            <w:tcW w:w="1374" w:type="dxa"/>
            <w:tcBorders>
              <w:top w:val="nil"/>
              <w:left w:val="nil"/>
              <w:bottom w:val="single" w:sz="4" w:space="0" w:color="auto"/>
              <w:right w:val="single" w:sz="4" w:space="0" w:color="auto"/>
            </w:tcBorders>
            <w:vAlign w:val="center"/>
          </w:tcPr>
          <w:p w:rsidR="00447284" w:rsidRDefault="00447284">
            <w:pPr>
              <w:widowControl/>
              <w:jc w:val="center"/>
              <w:rPr>
                <w:rFonts w:ascii="仿宋_GB2312" w:eastAsia="仿宋_GB2312" w:hAnsi="宋体" w:hint="eastAsia"/>
                <w:sz w:val="24"/>
              </w:rPr>
            </w:pPr>
            <w:r>
              <w:rPr>
                <w:rFonts w:ascii="仿宋_GB2312" w:eastAsia="仿宋_GB2312" w:hAnsi="宋体" w:hint="eastAsia"/>
                <w:sz w:val="24"/>
              </w:rPr>
              <w:t>100</w:t>
            </w:r>
          </w:p>
        </w:tc>
      </w:tr>
    </w:tbl>
    <w:p w:rsidR="00447284" w:rsidRDefault="00447284">
      <w:pPr>
        <w:spacing w:line="360" w:lineRule="auto"/>
        <w:jc w:val="center"/>
        <w:rPr>
          <w:rFonts w:ascii="黑体" w:eastAsia="黑体" w:hint="eastAsia"/>
          <w:b/>
          <w:sz w:val="30"/>
          <w:szCs w:val="30"/>
        </w:rPr>
      </w:pPr>
    </w:p>
    <w:p w:rsidR="00447284" w:rsidRDefault="00447284">
      <w:pPr>
        <w:spacing w:line="360" w:lineRule="auto"/>
        <w:jc w:val="center"/>
        <w:rPr>
          <w:rFonts w:ascii="黑体" w:eastAsia="黑体"/>
          <w:b/>
          <w:sz w:val="30"/>
          <w:szCs w:val="30"/>
        </w:rPr>
      </w:pPr>
      <w:r>
        <w:rPr>
          <w:rFonts w:ascii="黑体" w:eastAsia="黑体"/>
          <w:b/>
          <w:sz w:val="30"/>
          <w:szCs w:val="30"/>
        </w:rPr>
        <w:t>第四节  董事、</w:t>
      </w:r>
      <w:r>
        <w:rPr>
          <w:rFonts w:ascii="黑体" w:eastAsia="黑体" w:hint="eastAsia"/>
          <w:b/>
          <w:sz w:val="30"/>
          <w:szCs w:val="30"/>
        </w:rPr>
        <w:t>监事、</w:t>
      </w:r>
      <w:r>
        <w:rPr>
          <w:rFonts w:ascii="黑体" w:eastAsia="黑体"/>
          <w:b/>
          <w:sz w:val="30"/>
          <w:szCs w:val="30"/>
        </w:rPr>
        <w:t>高级管理人员和员工情况</w:t>
      </w:r>
    </w:p>
    <w:p w:rsidR="00447284" w:rsidRDefault="00447284">
      <w:pPr>
        <w:pStyle w:val="a3"/>
        <w:numPr>
          <w:ilvl w:val="0"/>
          <w:numId w:val="1"/>
        </w:numPr>
        <w:spacing w:line="360" w:lineRule="auto"/>
        <w:ind w:firstLineChars="200" w:firstLine="600"/>
        <w:rPr>
          <w:rFonts w:ascii="仿宋_GB2312" w:eastAsia="仿宋_GB2312" w:cs="Times New Roman"/>
          <w:sz w:val="30"/>
          <w:szCs w:val="30"/>
        </w:rPr>
      </w:pPr>
      <w:r>
        <w:rPr>
          <w:rFonts w:ascii="仿宋_GB2312" w:eastAsia="仿宋_GB2312" w:cs="Times New Roman"/>
          <w:sz w:val="30"/>
          <w:szCs w:val="30"/>
        </w:rPr>
        <w:t>现任董事、</w:t>
      </w:r>
      <w:r>
        <w:rPr>
          <w:rFonts w:ascii="仿宋_GB2312" w:eastAsia="仿宋_GB2312" w:cs="Times New Roman" w:hint="eastAsia"/>
          <w:sz w:val="30"/>
          <w:szCs w:val="30"/>
        </w:rPr>
        <w:t>监事、</w:t>
      </w:r>
      <w:r>
        <w:rPr>
          <w:rFonts w:ascii="仿宋_GB2312" w:eastAsia="仿宋_GB2312" w:cs="Times New Roman"/>
          <w:sz w:val="30"/>
          <w:szCs w:val="30"/>
        </w:rPr>
        <w:t>高级管理人员的基本情况</w:t>
      </w:r>
    </w:p>
    <w:tbl>
      <w:tblPr>
        <w:tblpPr w:leftFromText="180" w:rightFromText="180" w:vertAnchor="text" w:horzAnchor="margin" w:tblpXSpec="center" w:tblpY="106"/>
        <w:tblW w:w="7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921"/>
        <w:gridCol w:w="992"/>
        <w:gridCol w:w="1525"/>
        <w:gridCol w:w="1701"/>
      </w:tblGrid>
      <w:tr w:rsidR="00447284">
        <w:trPr>
          <w:trHeight w:val="309"/>
        </w:trPr>
        <w:tc>
          <w:tcPr>
            <w:tcW w:w="1915" w:type="dxa"/>
            <w:vAlign w:val="center"/>
          </w:tcPr>
          <w:p w:rsidR="00447284" w:rsidRDefault="00447284">
            <w:pPr>
              <w:spacing w:line="360" w:lineRule="auto"/>
              <w:jc w:val="center"/>
              <w:rPr>
                <w:rFonts w:ascii="仿宋_GB2312" w:eastAsia="仿宋_GB2312"/>
              </w:rPr>
            </w:pPr>
            <w:r>
              <w:rPr>
                <w:rFonts w:ascii="仿宋_GB2312" w:eastAsia="仿宋_GB2312"/>
              </w:rPr>
              <w:t>姓  名</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rPr>
              <w:t>职  务</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性别</w:t>
            </w:r>
          </w:p>
        </w:tc>
        <w:tc>
          <w:tcPr>
            <w:tcW w:w="1525" w:type="dxa"/>
            <w:vAlign w:val="center"/>
          </w:tcPr>
          <w:p w:rsidR="00447284" w:rsidRDefault="00447284">
            <w:pPr>
              <w:spacing w:line="360" w:lineRule="auto"/>
              <w:jc w:val="center"/>
              <w:rPr>
                <w:rFonts w:ascii="仿宋_GB2312" w:eastAsia="仿宋_GB2312"/>
              </w:rPr>
            </w:pPr>
            <w:r>
              <w:rPr>
                <w:rFonts w:ascii="仿宋_GB2312" w:eastAsia="仿宋_GB2312"/>
              </w:rPr>
              <w:t>年初持股数（万股）</w:t>
            </w:r>
          </w:p>
        </w:tc>
        <w:tc>
          <w:tcPr>
            <w:tcW w:w="1701" w:type="dxa"/>
            <w:vAlign w:val="center"/>
          </w:tcPr>
          <w:p w:rsidR="00447284" w:rsidRDefault="00447284">
            <w:pPr>
              <w:spacing w:line="360" w:lineRule="auto"/>
              <w:jc w:val="center"/>
              <w:rPr>
                <w:rFonts w:ascii="仿宋_GB2312" w:eastAsia="仿宋_GB2312"/>
              </w:rPr>
            </w:pPr>
            <w:r>
              <w:rPr>
                <w:rFonts w:ascii="仿宋_GB2312" w:eastAsia="仿宋_GB2312"/>
              </w:rPr>
              <w:t>年末持股数（万股）</w:t>
            </w:r>
          </w:p>
        </w:tc>
      </w:tr>
      <w:tr w:rsidR="00447284">
        <w:trPr>
          <w:trHeight w:val="593"/>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周仲奇</w:t>
            </w:r>
          </w:p>
        </w:tc>
        <w:tc>
          <w:tcPr>
            <w:tcW w:w="921" w:type="dxa"/>
            <w:vAlign w:val="center"/>
          </w:tcPr>
          <w:p w:rsidR="00447284" w:rsidRDefault="00447284">
            <w:pPr>
              <w:spacing w:line="360" w:lineRule="auto"/>
              <w:jc w:val="center"/>
              <w:rPr>
                <w:rFonts w:ascii="仿宋_GB2312" w:eastAsia="仿宋_GB2312" w:hint="eastAsia"/>
              </w:rPr>
            </w:pPr>
            <w:r>
              <w:rPr>
                <w:rFonts w:ascii="仿宋_GB2312" w:eastAsia="仿宋_GB2312"/>
              </w:rPr>
              <w:t>董事长</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r>
      <w:tr w:rsidR="00447284">
        <w:trPr>
          <w:trHeight w:val="250"/>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蔡清国</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rPr>
              <w:t>董</w:t>
            </w:r>
            <w:r>
              <w:rPr>
                <w:rFonts w:ascii="仿宋_GB2312" w:eastAsia="仿宋_GB2312" w:hint="eastAsia"/>
              </w:rPr>
              <w:t xml:space="preserve">  </w:t>
            </w:r>
            <w:r>
              <w:rPr>
                <w:rFonts w:ascii="仿宋_GB2312" w:eastAsia="仿宋_GB2312"/>
              </w:rPr>
              <w:t>事</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r>
      <w:tr w:rsidR="00447284">
        <w:trPr>
          <w:trHeight w:val="554"/>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孔祥俊</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rPr>
              <w:t>董</w:t>
            </w:r>
            <w:r>
              <w:rPr>
                <w:rFonts w:ascii="仿宋_GB2312" w:eastAsia="仿宋_GB2312" w:hint="eastAsia"/>
              </w:rPr>
              <w:t xml:space="preserve">  </w:t>
            </w:r>
            <w:r>
              <w:rPr>
                <w:rFonts w:ascii="仿宋_GB2312" w:eastAsia="仿宋_GB2312"/>
              </w:rPr>
              <w:t>事</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r>
      <w:tr w:rsidR="00447284">
        <w:trPr>
          <w:trHeight w:val="554"/>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费传军</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hint="eastAsia"/>
              </w:rPr>
              <w:t>董  事</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hint="eastAsia"/>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200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200</w:t>
            </w:r>
          </w:p>
        </w:tc>
      </w:tr>
      <w:tr w:rsidR="00447284">
        <w:trPr>
          <w:trHeight w:val="533"/>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钱俊</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rPr>
              <w:t>董</w:t>
            </w:r>
            <w:r>
              <w:rPr>
                <w:rFonts w:ascii="仿宋_GB2312" w:eastAsia="仿宋_GB2312" w:hint="eastAsia"/>
              </w:rPr>
              <w:t xml:space="preserve">  </w:t>
            </w:r>
            <w:r>
              <w:rPr>
                <w:rFonts w:ascii="仿宋_GB2312" w:eastAsia="仿宋_GB2312"/>
              </w:rPr>
              <w:t>事</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rPr>
            </w:pPr>
            <w:r>
              <w:rPr>
                <w:rFonts w:ascii="仿宋_GB2312" w:eastAsia="仿宋_GB2312" w:hint="eastAsia"/>
              </w:rPr>
              <w:t>0</w:t>
            </w:r>
          </w:p>
        </w:tc>
      </w:tr>
      <w:tr w:rsidR="00447284">
        <w:trPr>
          <w:trHeight w:val="525"/>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张建国</w:t>
            </w:r>
          </w:p>
        </w:tc>
        <w:tc>
          <w:tcPr>
            <w:tcW w:w="921" w:type="dxa"/>
            <w:vAlign w:val="center"/>
          </w:tcPr>
          <w:p w:rsidR="00447284" w:rsidRDefault="00447284">
            <w:pPr>
              <w:spacing w:line="360" w:lineRule="auto"/>
              <w:jc w:val="center"/>
              <w:rPr>
                <w:rFonts w:ascii="仿宋_GB2312" w:eastAsia="仿宋_GB2312"/>
                <w:sz w:val="18"/>
                <w:szCs w:val="18"/>
              </w:rPr>
            </w:pPr>
            <w:r>
              <w:rPr>
                <w:rFonts w:ascii="仿宋_GB2312" w:eastAsia="仿宋_GB2312" w:hint="eastAsia"/>
              </w:rPr>
              <w:t>监事长</w:t>
            </w:r>
          </w:p>
        </w:tc>
        <w:tc>
          <w:tcPr>
            <w:tcW w:w="992" w:type="dxa"/>
            <w:vAlign w:val="center"/>
          </w:tcPr>
          <w:p w:rsidR="00447284" w:rsidRDefault="00447284">
            <w:pPr>
              <w:spacing w:line="360" w:lineRule="auto"/>
              <w:jc w:val="center"/>
              <w:rPr>
                <w:rFonts w:ascii="仿宋_GB2312" w:eastAsia="仿宋_GB2312"/>
              </w:rPr>
            </w:pPr>
            <w:r>
              <w:rPr>
                <w:rFonts w:ascii="仿宋_GB2312" w:eastAsia="仿宋_GB2312"/>
              </w:rPr>
              <w:t>男</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r>
      <w:tr w:rsidR="00447284">
        <w:trPr>
          <w:trHeight w:val="525"/>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汪本芳</w:t>
            </w:r>
          </w:p>
        </w:tc>
        <w:tc>
          <w:tcPr>
            <w:tcW w:w="921" w:type="dxa"/>
            <w:vAlign w:val="center"/>
          </w:tcPr>
          <w:p w:rsidR="00447284" w:rsidRDefault="00447284">
            <w:pPr>
              <w:spacing w:line="360" w:lineRule="auto"/>
              <w:jc w:val="center"/>
              <w:rPr>
                <w:rFonts w:ascii="仿宋_GB2312" w:eastAsia="仿宋_GB2312"/>
              </w:rPr>
            </w:pPr>
            <w:r>
              <w:rPr>
                <w:rFonts w:ascii="仿宋_GB2312" w:eastAsia="仿宋_GB2312" w:hint="eastAsia"/>
              </w:rPr>
              <w:t>监事</w:t>
            </w:r>
          </w:p>
        </w:tc>
        <w:tc>
          <w:tcPr>
            <w:tcW w:w="992"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女</w:t>
            </w:r>
          </w:p>
        </w:tc>
        <w:tc>
          <w:tcPr>
            <w:tcW w:w="152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c>
          <w:tcPr>
            <w:tcW w:w="1701"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0</w:t>
            </w:r>
          </w:p>
        </w:tc>
      </w:tr>
      <w:tr w:rsidR="00447284">
        <w:trPr>
          <w:trHeight w:val="466"/>
        </w:trPr>
        <w:tc>
          <w:tcPr>
            <w:tcW w:w="1915"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马莉</w:t>
            </w:r>
          </w:p>
        </w:tc>
        <w:tc>
          <w:tcPr>
            <w:tcW w:w="921" w:type="dxa"/>
            <w:vAlign w:val="center"/>
          </w:tcPr>
          <w:p w:rsidR="00447284" w:rsidRDefault="00447284">
            <w:pPr>
              <w:spacing w:line="240" w:lineRule="atLeast"/>
              <w:jc w:val="center"/>
              <w:rPr>
                <w:rFonts w:ascii="仿宋_GB2312" w:eastAsia="仿宋_GB2312" w:hint="eastAsia"/>
              </w:rPr>
            </w:pPr>
            <w:r>
              <w:rPr>
                <w:rFonts w:ascii="仿宋_GB2312" w:eastAsia="仿宋_GB2312" w:hint="eastAsia"/>
              </w:rPr>
              <w:t>监事</w:t>
            </w:r>
          </w:p>
        </w:tc>
        <w:tc>
          <w:tcPr>
            <w:tcW w:w="992" w:type="dxa"/>
            <w:vAlign w:val="center"/>
          </w:tcPr>
          <w:p w:rsidR="00447284" w:rsidRDefault="00447284">
            <w:pPr>
              <w:spacing w:line="360" w:lineRule="auto"/>
              <w:jc w:val="center"/>
              <w:rPr>
                <w:rFonts w:ascii="仿宋_GB2312" w:eastAsia="仿宋_GB2312" w:hint="eastAsia"/>
              </w:rPr>
            </w:pPr>
            <w:r>
              <w:rPr>
                <w:rFonts w:ascii="仿宋_GB2312" w:eastAsia="仿宋_GB2312" w:hint="eastAsia"/>
              </w:rPr>
              <w:t>女</w:t>
            </w:r>
          </w:p>
        </w:tc>
        <w:tc>
          <w:tcPr>
            <w:tcW w:w="1525" w:type="dxa"/>
            <w:vAlign w:val="center"/>
          </w:tcPr>
          <w:p w:rsidR="00447284" w:rsidRDefault="00447284">
            <w:pPr>
              <w:spacing w:line="360" w:lineRule="auto"/>
              <w:jc w:val="center"/>
              <w:rPr>
                <w:rFonts w:ascii="仿宋_GB2312" w:eastAsia="仿宋_GB2312"/>
              </w:rPr>
            </w:pPr>
            <w:r>
              <w:rPr>
                <w:rFonts w:ascii="仿宋_GB2312" w:eastAsia="仿宋_GB2312"/>
              </w:rPr>
              <w:t>0</w:t>
            </w:r>
          </w:p>
        </w:tc>
        <w:tc>
          <w:tcPr>
            <w:tcW w:w="1701" w:type="dxa"/>
            <w:vAlign w:val="center"/>
          </w:tcPr>
          <w:p w:rsidR="00447284" w:rsidRDefault="00447284">
            <w:pPr>
              <w:spacing w:line="360" w:lineRule="auto"/>
              <w:jc w:val="center"/>
              <w:rPr>
                <w:rFonts w:ascii="仿宋_GB2312" w:eastAsia="仿宋_GB2312"/>
              </w:rPr>
            </w:pPr>
            <w:r>
              <w:rPr>
                <w:rFonts w:ascii="仿宋_GB2312" w:eastAsia="仿宋_GB2312"/>
              </w:rPr>
              <w:t>0</w:t>
            </w:r>
          </w:p>
        </w:tc>
      </w:tr>
    </w:tbl>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Chars="200" w:firstLine="600"/>
        <w:rPr>
          <w:rFonts w:ascii="仿宋_GB2312" w:eastAsia="仿宋_GB2312" w:cs="Times New Roman" w:hint="eastAsia"/>
          <w:sz w:val="30"/>
          <w:szCs w:val="30"/>
        </w:rPr>
      </w:pP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hint="eastAsia"/>
          <w:sz w:val="30"/>
          <w:szCs w:val="30"/>
        </w:rPr>
        <w:t>二</w:t>
      </w:r>
      <w:r>
        <w:rPr>
          <w:rFonts w:ascii="仿宋_GB2312" w:eastAsia="仿宋_GB2312" w:cs="Times New Roman"/>
          <w:sz w:val="30"/>
          <w:szCs w:val="30"/>
        </w:rPr>
        <w:t>、本行员工情况</w:t>
      </w:r>
    </w:p>
    <w:p w:rsidR="00447284" w:rsidRDefault="00447284">
      <w:pPr>
        <w:pStyle w:val="a3"/>
        <w:spacing w:line="360" w:lineRule="auto"/>
        <w:ind w:firstLine="601"/>
        <w:rPr>
          <w:rFonts w:ascii="仿宋_GB2312" w:eastAsia="仿宋_GB2312" w:cs="Times New Roman" w:hint="eastAsia"/>
          <w:sz w:val="30"/>
          <w:szCs w:val="30"/>
        </w:rPr>
      </w:pPr>
      <w:r>
        <w:rPr>
          <w:rFonts w:ascii="仿宋_GB2312" w:eastAsia="仿宋_GB2312"/>
          <w:sz w:val="30"/>
          <w:szCs w:val="30"/>
        </w:rPr>
        <w:t>截至20</w:t>
      </w:r>
      <w:r>
        <w:rPr>
          <w:rFonts w:ascii="仿宋_GB2312" w:eastAsia="仿宋_GB2312" w:hint="eastAsia"/>
          <w:sz w:val="30"/>
          <w:szCs w:val="30"/>
        </w:rPr>
        <w:t>22</w:t>
      </w:r>
      <w:r>
        <w:rPr>
          <w:rFonts w:ascii="仿宋_GB2312" w:eastAsia="仿宋_GB2312"/>
          <w:sz w:val="30"/>
          <w:szCs w:val="30"/>
        </w:rPr>
        <w:t>年末，本行在册员工</w:t>
      </w:r>
      <w:r>
        <w:rPr>
          <w:rFonts w:ascii="仿宋_GB2312" w:eastAsia="仿宋_GB2312" w:hint="eastAsia"/>
          <w:sz w:val="30"/>
          <w:szCs w:val="30"/>
        </w:rPr>
        <w:t>73</w:t>
      </w:r>
      <w:r>
        <w:rPr>
          <w:rFonts w:ascii="仿宋_GB2312" w:eastAsia="仿宋_GB2312"/>
          <w:sz w:val="30"/>
          <w:szCs w:val="30"/>
        </w:rPr>
        <w:t>人</w:t>
      </w:r>
      <w:r>
        <w:rPr>
          <w:rFonts w:ascii="仿宋_GB2312" w:eastAsia="仿宋_GB2312" w:hint="eastAsia"/>
          <w:sz w:val="30"/>
          <w:szCs w:val="30"/>
        </w:rPr>
        <w:t>，平均年龄29岁</w:t>
      </w:r>
      <w:r>
        <w:rPr>
          <w:rFonts w:ascii="仿宋_GB2312" w:eastAsia="仿宋_GB2312"/>
          <w:sz w:val="30"/>
          <w:szCs w:val="30"/>
        </w:rPr>
        <w:t>。按年龄结构划分，</w:t>
      </w:r>
      <w:r>
        <w:rPr>
          <w:rFonts w:ascii="仿宋_GB2312" w:eastAsia="仿宋_GB2312" w:hint="eastAsia"/>
          <w:sz w:val="30"/>
          <w:szCs w:val="30"/>
        </w:rPr>
        <w:t>35</w:t>
      </w:r>
      <w:r>
        <w:rPr>
          <w:rFonts w:ascii="仿宋_GB2312" w:eastAsia="仿宋_GB2312"/>
          <w:sz w:val="30"/>
          <w:szCs w:val="30"/>
        </w:rPr>
        <w:t>岁以下的占</w:t>
      </w:r>
      <w:r>
        <w:rPr>
          <w:rFonts w:ascii="仿宋_GB2312" w:eastAsia="仿宋_GB2312" w:hint="eastAsia"/>
          <w:sz w:val="30"/>
          <w:szCs w:val="30"/>
        </w:rPr>
        <w:t>96</w:t>
      </w:r>
      <w:r>
        <w:rPr>
          <w:rFonts w:ascii="仿宋_GB2312" w:eastAsia="仿宋_GB2312"/>
          <w:sz w:val="30"/>
          <w:szCs w:val="30"/>
        </w:rPr>
        <w:t>%</w:t>
      </w:r>
      <w:r>
        <w:rPr>
          <w:rFonts w:ascii="仿宋_GB2312" w:eastAsia="仿宋_GB2312" w:hint="eastAsia"/>
          <w:sz w:val="30"/>
          <w:szCs w:val="30"/>
        </w:rPr>
        <w:t>，3</w:t>
      </w:r>
      <w:r>
        <w:rPr>
          <w:rFonts w:ascii="仿宋_GB2312" w:eastAsia="仿宋_GB2312"/>
          <w:sz w:val="30"/>
          <w:szCs w:val="30"/>
        </w:rPr>
        <w:t>5岁以上的占</w:t>
      </w:r>
      <w:r>
        <w:rPr>
          <w:rFonts w:ascii="仿宋_GB2312" w:eastAsia="仿宋_GB2312" w:hint="eastAsia"/>
          <w:sz w:val="30"/>
          <w:szCs w:val="30"/>
        </w:rPr>
        <w:t>4</w:t>
      </w:r>
      <w:r>
        <w:rPr>
          <w:rFonts w:ascii="仿宋_GB2312" w:eastAsia="仿宋_GB2312"/>
          <w:sz w:val="30"/>
          <w:szCs w:val="30"/>
        </w:rPr>
        <w:t>% ；按文化结构分，本科及以上员工占比</w:t>
      </w:r>
      <w:r>
        <w:rPr>
          <w:rFonts w:ascii="仿宋_GB2312" w:eastAsia="仿宋_GB2312" w:hint="eastAsia"/>
          <w:sz w:val="30"/>
          <w:szCs w:val="30"/>
        </w:rPr>
        <w:t>37.5</w:t>
      </w:r>
      <w:r>
        <w:rPr>
          <w:rFonts w:ascii="仿宋_GB2312" w:eastAsia="仿宋_GB2312"/>
          <w:sz w:val="30"/>
          <w:szCs w:val="30"/>
        </w:rPr>
        <w:t>%，本科以下占比</w:t>
      </w:r>
      <w:r>
        <w:rPr>
          <w:rFonts w:ascii="仿宋_GB2312" w:eastAsia="仿宋_GB2312" w:hint="eastAsia"/>
          <w:sz w:val="30"/>
          <w:szCs w:val="30"/>
        </w:rPr>
        <w:t>62.5</w:t>
      </w:r>
      <w:r>
        <w:rPr>
          <w:rFonts w:ascii="仿宋_GB2312" w:eastAsia="仿宋_GB2312"/>
          <w:sz w:val="30"/>
          <w:szCs w:val="30"/>
        </w:rPr>
        <w:t>%。</w:t>
      </w:r>
    </w:p>
    <w:p w:rsidR="00447284" w:rsidRDefault="00447284">
      <w:pPr>
        <w:spacing w:line="360" w:lineRule="auto"/>
        <w:jc w:val="center"/>
        <w:rPr>
          <w:rFonts w:ascii="黑体" w:eastAsia="黑体"/>
          <w:b/>
          <w:sz w:val="30"/>
          <w:szCs w:val="30"/>
        </w:rPr>
      </w:pPr>
      <w:r>
        <w:rPr>
          <w:rFonts w:ascii="黑体" w:eastAsia="黑体"/>
          <w:b/>
          <w:sz w:val="30"/>
          <w:szCs w:val="30"/>
        </w:rPr>
        <w:lastRenderedPageBreak/>
        <w:t>第五节  公司治理情况</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一、公司治理的概况</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公司严格按照《公司法》、《商业银行法》、《</w:t>
      </w:r>
      <w:r>
        <w:rPr>
          <w:rFonts w:ascii="仿宋_GB2312" w:eastAsia="仿宋_GB2312" w:cs="Times New Roman" w:hint="eastAsia"/>
          <w:sz w:val="30"/>
          <w:szCs w:val="30"/>
        </w:rPr>
        <w:t>商业银行公司治理指引</w:t>
      </w:r>
      <w:r>
        <w:rPr>
          <w:rFonts w:ascii="仿宋_GB2312" w:eastAsia="仿宋_GB2312" w:cs="Times New Roman"/>
          <w:sz w:val="30"/>
          <w:szCs w:val="30"/>
        </w:rPr>
        <w:t>》</w:t>
      </w:r>
      <w:r>
        <w:rPr>
          <w:rFonts w:ascii="仿宋_GB2312" w:eastAsia="仿宋_GB2312" w:cs="Times New Roman" w:hint="eastAsia"/>
          <w:sz w:val="30"/>
          <w:szCs w:val="30"/>
        </w:rPr>
        <w:t>、《</w:t>
      </w:r>
      <w:r>
        <w:rPr>
          <w:rFonts w:ascii="仿宋_GB2312" w:eastAsia="仿宋_GB2312" w:cs="Times New Roman"/>
          <w:sz w:val="30"/>
          <w:szCs w:val="30"/>
        </w:rPr>
        <w:t>村镇银行管理暂行规定</w:t>
      </w:r>
      <w:r>
        <w:rPr>
          <w:rFonts w:ascii="仿宋_GB2312" w:eastAsia="仿宋_GB2312" w:cs="Times New Roman" w:hint="eastAsia"/>
          <w:sz w:val="30"/>
          <w:szCs w:val="30"/>
        </w:rPr>
        <w:t>》</w:t>
      </w:r>
      <w:r>
        <w:rPr>
          <w:rFonts w:ascii="仿宋_GB2312" w:eastAsia="仿宋_GB2312" w:cs="Times New Roman"/>
          <w:sz w:val="30"/>
          <w:szCs w:val="30"/>
        </w:rPr>
        <w:t>等相关法律法规，</w:t>
      </w:r>
      <w:r>
        <w:rPr>
          <w:rFonts w:ascii="仿宋_GB2312" w:eastAsia="仿宋_GB2312" w:cs="Times New Roman" w:hint="eastAsia"/>
          <w:sz w:val="30"/>
          <w:szCs w:val="30"/>
        </w:rPr>
        <w:t>全面深化改革，优化组织体系，提升治理效能，强化风险管理与依法合规经营，</w:t>
      </w:r>
      <w:r>
        <w:rPr>
          <w:rFonts w:ascii="仿宋_GB2312" w:eastAsia="仿宋_GB2312" w:cs="Times New Roman"/>
          <w:sz w:val="30"/>
          <w:szCs w:val="30"/>
        </w:rPr>
        <w:t>结合实际情况，不断完善治理结构，</w:t>
      </w:r>
      <w:r>
        <w:rPr>
          <w:rFonts w:ascii="仿宋_GB2312" w:eastAsia="仿宋_GB2312" w:cs="Times New Roman" w:hint="eastAsia"/>
          <w:sz w:val="30"/>
          <w:szCs w:val="30"/>
        </w:rPr>
        <w:t>完善公司业务治理，</w:t>
      </w:r>
      <w:r>
        <w:rPr>
          <w:rFonts w:ascii="仿宋_GB2312" w:eastAsia="仿宋_GB2312" w:cs="Times New Roman"/>
          <w:sz w:val="30"/>
          <w:szCs w:val="30"/>
        </w:rPr>
        <w:t>提高信息透明度，保护存款人利益，</w:t>
      </w:r>
      <w:r>
        <w:rPr>
          <w:rFonts w:ascii="仿宋_GB2312" w:eastAsia="仿宋_GB2312" w:cs="Times New Roman" w:hint="eastAsia"/>
          <w:sz w:val="30"/>
          <w:szCs w:val="30"/>
        </w:rPr>
        <w:t>努力提升公司治理水平</w:t>
      </w:r>
      <w:r>
        <w:rPr>
          <w:rFonts w:ascii="仿宋_GB2312" w:eastAsia="仿宋_GB2312" w:cs="Times New Roman"/>
          <w:sz w:val="30"/>
          <w:szCs w:val="30"/>
        </w:rPr>
        <w:t>。本公司设立了股东大会</w:t>
      </w:r>
      <w:r>
        <w:rPr>
          <w:rFonts w:ascii="仿宋_GB2312" w:eastAsia="仿宋_GB2312" w:cs="Times New Roman" w:hint="eastAsia"/>
          <w:sz w:val="30"/>
          <w:szCs w:val="30"/>
        </w:rPr>
        <w:t>、</w:t>
      </w:r>
      <w:r>
        <w:rPr>
          <w:rFonts w:ascii="仿宋_GB2312" w:eastAsia="仿宋_GB2312" w:cs="Times New Roman"/>
          <w:sz w:val="30"/>
          <w:szCs w:val="30"/>
        </w:rPr>
        <w:t>董事会</w:t>
      </w:r>
      <w:r>
        <w:rPr>
          <w:rFonts w:ascii="仿宋_GB2312" w:eastAsia="仿宋_GB2312" w:cs="Times New Roman" w:hint="eastAsia"/>
          <w:sz w:val="30"/>
          <w:szCs w:val="30"/>
        </w:rPr>
        <w:t>、监事会</w:t>
      </w:r>
      <w:r>
        <w:rPr>
          <w:rFonts w:ascii="仿宋_GB2312" w:eastAsia="仿宋_GB2312" w:cs="Times New Roman"/>
          <w:sz w:val="30"/>
          <w:szCs w:val="30"/>
        </w:rPr>
        <w:t>并制定了相应的议事规则，按《公司章程》规定，形成了股东大会、董事会</w:t>
      </w:r>
      <w:r>
        <w:rPr>
          <w:rFonts w:ascii="仿宋_GB2312" w:eastAsia="仿宋_GB2312" w:cs="Times New Roman" w:hint="eastAsia"/>
          <w:sz w:val="30"/>
          <w:szCs w:val="30"/>
        </w:rPr>
        <w:t>、监事会</w:t>
      </w:r>
      <w:r>
        <w:rPr>
          <w:rFonts w:ascii="仿宋_GB2312" w:eastAsia="仿宋_GB2312" w:cs="Times New Roman"/>
          <w:sz w:val="30"/>
          <w:szCs w:val="30"/>
        </w:rPr>
        <w:t>及高级管理层相互分离、相互制衡的公司治理结构</w:t>
      </w:r>
      <w:r>
        <w:rPr>
          <w:rFonts w:ascii="仿宋_GB2312" w:eastAsia="仿宋_GB2312" w:cs="Times New Roman" w:hint="eastAsia"/>
          <w:sz w:val="30"/>
          <w:szCs w:val="30"/>
        </w:rPr>
        <w:t>。召集、召开股东大会，确保全体股东拥有对本公司重大事项的知情权、参与权和表决权，股东大会实行律师见证制度。进一步优化董事会、监事会结构，</w:t>
      </w:r>
      <w:r>
        <w:rPr>
          <w:rFonts w:ascii="仿宋_GB2312" w:eastAsia="仿宋_GB2312" w:cs="Times New Roman"/>
          <w:sz w:val="30"/>
          <w:szCs w:val="30"/>
        </w:rPr>
        <w:t>各层级在自己的职责权限范围内</w:t>
      </w:r>
      <w:r>
        <w:rPr>
          <w:rFonts w:ascii="仿宋_GB2312" w:eastAsia="仿宋_GB2312" w:cs="Times New Roman" w:hint="eastAsia"/>
          <w:sz w:val="30"/>
          <w:szCs w:val="30"/>
        </w:rPr>
        <w:t>能够做到勤勉尽职，建立了科学有效的</w:t>
      </w:r>
      <w:r>
        <w:rPr>
          <w:rFonts w:ascii="仿宋_GB2312" w:eastAsia="仿宋_GB2312" w:cs="Times New Roman"/>
          <w:sz w:val="30"/>
          <w:szCs w:val="30"/>
        </w:rPr>
        <w:t>规范运</w:t>
      </w:r>
      <w:r>
        <w:rPr>
          <w:rFonts w:ascii="仿宋_GB2312" w:eastAsia="仿宋_GB2312" w:cs="Times New Roman" w:hint="eastAsia"/>
          <w:sz w:val="30"/>
          <w:szCs w:val="30"/>
        </w:rPr>
        <w:t>行机制</w:t>
      </w:r>
      <w:r>
        <w:rPr>
          <w:rFonts w:ascii="仿宋_GB2312" w:eastAsia="仿宋_GB2312" w:cs="Times New Roman"/>
          <w:sz w:val="30"/>
          <w:szCs w:val="30"/>
        </w:rPr>
        <w:t>。</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（一）</w:t>
      </w:r>
      <w:r>
        <w:rPr>
          <w:rFonts w:ascii="仿宋_GB2312" w:eastAsia="仿宋_GB2312" w:cs="Times New Roman" w:hint="eastAsia"/>
          <w:sz w:val="30"/>
          <w:szCs w:val="30"/>
        </w:rPr>
        <w:t>董事会、监事会、股东大会</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报告期内</w:t>
      </w:r>
      <w:r>
        <w:rPr>
          <w:rFonts w:ascii="仿宋_GB2312" w:eastAsia="仿宋_GB2312" w:cs="Times New Roman" w:hint="eastAsia"/>
          <w:sz w:val="30"/>
          <w:szCs w:val="30"/>
        </w:rPr>
        <w:t>本</w:t>
      </w:r>
      <w:r>
        <w:rPr>
          <w:rFonts w:ascii="仿宋_GB2312" w:eastAsia="仿宋_GB2312" w:cs="Times New Roman"/>
          <w:sz w:val="30"/>
          <w:szCs w:val="30"/>
        </w:rPr>
        <w:t>公司召开了</w:t>
      </w:r>
      <w:r>
        <w:rPr>
          <w:rFonts w:ascii="仿宋_GB2312" w:eastAsia="仿宋_GB2312" w:cs="Times New Roman" w:hint="eastAsia"/>
          <w:sz w:val="30"/>
          <w:szCs w:val="30"/>
        </w:rPr>
        <w:t>第三届第六次、第七次、第八次、第九次和第十次董事会、第三届第六次、第七次、第八次</w:t>
      </w:r>
      <w:r w:rsidR="00AA1C63">
        <w:rPr>
          <w:rFonts w:ascii="仿宋_GB2312" w:eastAsia="仿宋_GB2312" w:cs="Times New Roman" w:hint="eastAsia"/>
          <w:sz w:val="30"/>
          <w:szCs w:val="30"/>
        </w:rPr>
        <w:t>、第九次</w:t>
      </w:r>
      <w:r>
        <w:rPr>
          <w:rFonts w:ascii="仿宋_GB2312" w:eastAsia="仿宋_GB2312" w:cs="Times New Roman" w:hint="eastAsia"/>
          <w:sz w:val="30"/>
          <w:szCs w:val="30"/>
        </w:rPr>
        <w:t>监事会，</w:t>
      </w:r>
      <w:r>
        <w:rPr>
          <w:rFonts w:ascii="仿宋_GB2312" w:eastAsia="仿宋_GB2312" w:cs="Times New Roman"/>
          <w:sz w:val="30"/>
          <w:szCs w:val="30"/>
        </w:rPr>
        <w:t xml:space="preserve"> 20</w:t>
      </w:r>
      <w:r>
        <w:rPr>
          <w:rFonts w:ascii="仿宋_GB2312" w:eastAsia="仿宋_GB2312" w:cs="Times New Roman" w:hint="eastAsia"/>
          <w:sz w:val="30"/>
          <w:szCs w:val="30"/>
        </w:rPr>
        <w:t>21</w:t>
      </w:r>
      <w:r>
        <w:rPr>
          <w:rFonts w:ascii="仿宋_GB2312" w:eastAsia="仿宋_GB2312" w:cs="Times New Roman"/>
          <w:sz w:val="30"/>
          <w:szCs w:val="30"/>
        </w:rPr>
        <w:t>年度股东大会</w:t>
      </w:r>
      <w:r>
        <w:rPr>
          <w:rFonts w:ascii="仿宋_GB2312" w:eastAsia="仿宋_GB2312" w:cs="Times New Roman" w:hint="eastAsia"/>
          <w:sz w:val="30"/>
          <w:szCs w:val="30"/>
        </w:rPr>
        <w:t>、2022年第一次临时股东大会（通讯方式），</w:t>
      </w:r>
      <w:r>
        <w:rPr>
          <w:rFonts w:ascii="仿宋_GB2312" w:eastAsia="仿宋_GB2312" w:cs="Times New Roman"/>
          <w:sz w:val="30"/>
          <w:szCs w:val="30"/>
        </w:rPr>
        <w:t>严格按照公司章程等有关规定履行了相关法律程序，</w:t>
      </w:r>
      <w:r>
        <w:rPr>
          <w:rFonts w:ascii="仿宋_GB2312" w:eastAsia="仿宋_GB2312" w:cs="Times New Roman" w:hint="eastAsia"/>
          <w:sz w:val="30"/>
          <w:szCs w:val="30"/>
        </w:rPr>
        <w:t>董事会按照董事会议事规则开展工作，</w:t>
      </w:r>
      <w:r>
        <w:rPr>
          <w:rFonts w:ascii="仿宋_GB2312" w:eastAsia="仿宋_GB2312" w:hint="eastAsia"/>
          <w:sz w:val="30"/>
          <w:szCs w:val="30"/>
        </w:rPr>
        <w:t>监事会各监事均能够按照法律法规、本行章程和各项工作制度的要求规范行为，</w:t>
      </w:r>
      <w:r>
        <w:rPr>
          <w:rFonts w:ascii="仿宋_GB2312" w:eastAsia="仿宋_GB2312" w:cs="Times New Roman"/>
          <w:sz w:val="30"/>
          <w:szCs w:val="30"/>
        </w:rPr>
        <w:t>年度股东</w:t>
      </w:r>
      <w:r>
        <w:rPr>
          <w:rFonts w:ascii="仿宋_GB2312" w:eastAsia="仿宋_GB2312" w:cs="Times New Roman"/>
          <w:sz w:val="30"/>
          <w:szCs w:val="30"/>
        </w:rPr>
        <w:lastRenderedPageBreak/>
        <w:t>大会由律师出具法律</w:t>
      </w:r>
      <w:r>
        <w:rPr>
          <w:rFonts w:ascii="仿宋_GB2312" w:eastAsia="仿宋_GB2312" w:cs="Times New Roman" w:hint="eastAsia"/>
          <w:sz w:val="30"/>
          <w:szCs w:val="30"/>
        </w:rPr>
        <w:t>见证</w:t>
      </w:r>
      <w:r>
        <w:rPr>
          <w:rFonts w:ascii="仿宋_GB2312" w:eastAsia="仿宋_GB2312" w:cs="Times New Roman"/>
          <w:sz w:val="30"/>
          <w:szCs w:val="30"/>
        </w:rPr>
        <w:t>书。</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w:t>
      </w:r>
      <w:r>
        <w:rPr>
          <w:rFonts w:ascii="仿宋_GB2312" w:eastAsia="仿宋_GB2312" w:cs="Times New Roman" w:hint="eastAsia"/>
          <w:sz w:val="30"/>
          <w:szCs w:val="30"/>
        </w:rPr>
        <w:t>二</w:t>
      </w:r>
      <w:r>
        <w:rPr>
          <w:rFonts w:ascii="仿宋_GB2312" w:eastAsia="仿宋_GB2312" w:cs="Times New Roman"/>
          <w:sz w:val="30"/>
          <w:szCs w:val="30"/>
        </w:rPr>
        <w:t>）关于信息披露</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hint="eastAsia"/>
          <w:sz w:val="30"/>
          <w:szCs w:val="30"/>
        </w:rPr>
        <w:t>本</w:t>
      </w:r>
      <w:r>
        <w:rPr>
          <w:rFonts w:ascii="仿宋_GB2312" w:eastAsia="仿宋_GB2312" w:cs="Times New Roman"/>
          <w:sz w:val="30"/>
          <w:szCs w:val="30"/>
        </w:rPr>
        <w:t>公司</w:t>
      </w:r>
      <w:r>
        <w:rPr>
          <w:rFonts w:ascii="仿宋_GB2312" w:eastAsia="仿宋_GB2312" w:cs="Times New Roman" w:hint="eastAsia"/>
          <w:sz w:val="30"/>
          <w:szCs w:val="30"/>
        </w:rPr>
        <w:t>根据</w:t>
      </w:r>
      <w:r>
        <w:rPr>
          <w:rFonts w:ascii="仿宋_GB2312" w:eastAsia="仿宋_GB2312" w:cs="Times New Roman"/>
          <w:sz w:val="30"/>
          <w:szCs w:val="30"/>
        </w:rPr>
        <w:t>银</w:t>
      </w:r>
      <w:r>
        <w:rPr>
          <w:rFonts w:ascii="仿宋_GB2312" w:eastAsia="仿宋_GB2312" w:cs="Times New Roman" w:hint="eastAsia"/>
          <w:sz w:val="30"/>
          <w:szCs w:val="30"/>
        </w:rPr>
        <w:t>保</w:t>
      </w:r>
      <w:r>
        <w:rPr>
          <w:rFonts w:ascii="仿宋_GB2312" w:eastAsia="仿宋_GB2312" w:cs="Times New Roman"/>
          <w:sz w:val="30"/>
          <w:szCs w:val="30"/>
        </w:rPr>
        <w:t>监会印发的《商业银行信息披露</w:t>
      </w:r>
      <w:r>
        <w:rPr>
          <w:rFonts w:ascii="仿宋_GB2312" w:eastAsia="仿宋_GB2312" w:cs="Times New Roman" w:hint="eastAsia"/>
          <w:sz w:val="30"/>
          <w:szCs w:val="30"/>
        </w:rPr>
        <w:t>暂行</w:t>
      </w:r>
      <w:r>
        <w:rPr>
          <w:rFonts w:ascii="仿宋_GB2312" w:eastAsia="仿宋_GB2312" w:cs="Times New Roman"/>
          <w:sz w:val="30"/>
          <w:szCs w:val="30"/>
        </w:rPr>
        <w:t>办法》</w:t>
      </w:r>
      <w:r>
        <w:rPr>
          <w:rFonts w:ascii="仿宋_GB2312" w:eastAsia="仿宋_GB2312" w:cs="Times New Roman" w:hint="eastAsia"/>
          <w:sz w:val="30"/>
          <w:szCs w:val="30"/>
        </w:rPr>
        <w:t>、</w:t>
      </w:r>
      <w:r>
        <w:rPr>
          <w:rFonts w:ascii="仿宋_GB2312" w:eastAsia="仿宋_GB2312" w:cs="Times New Roman"/>
          <w:sz w:val="30"/>
          <w:szCs w:val="30"/>
        </w:rPr>
        <w:t>《村镇银行管理暂行规定》</w:t>
      </w:r>
      <w:r>
        <w:rPr>
          <w:rFonts w:ascii="仿宋_GB2312" w:eastAsia="仿宋_GB2312" w:cs="Times New Roman" w:hint="eastAsia"/>
          <w:sz w:val="30"/>
          <w:szCs w:val="30"/>
        </w:rPr>
        <w:t>和监管部门的相关规定</w:t>
      </w:r>
      <w:r>
        <w:rPr>
          <w:rFonts w:ascii="仿宋_GB2312" w:eastAsia="仿宋_GB2312" w:cs="Times New Roman"/>
          <w:sz w:val="30"/>
          <w:szCs w:val="30"/>
        </w:rPr>
        <w:t>，</w:t>
      </w:r>
      <w:r>
        <w:rPr>
          <w:rFonts w:ascii="仿宋_GB2312" w:eastAsia="仿宋_GB2312" w:cs="Times New Roman" w:hint="eastAsia"/>
          <w:sz w:val="30"/>
          <w:szCs w:val="30"/>
        </w:rPr>
        <w:t>制定了《霍邱联合村镇银行信息披露管理办法》。于2022年度进行了信息披露，供股东及客户查阅。</w:t>
      </w:r>
      <w:r>
        <w:rPr>
          <w:rFonts w:ascii="仿宋_GB2312" w:eastAsia="仿宋_GB2312" w:cs="Times New Roman"/>
          <w:sz w:val="30"/>
          <w:szCs w:val="30"/>
        </w:rPr>
        <w:t>不断提高信息披露的及时性、准确性和完整性，并确保所有股东都有平等的机会获得信息，</w:t>
      </w:r>
      <w:r>
        <w:rPr>
          <w:rFonts w:ascii="仿宋_GB2312" w:eastAsia="仿宋_GB2312" w:cs="Times New Roman" w:hint="eastAsia"/>
          <w:sz w:val="30"/>
          <w:szCs w:val="30"/>
        </w:rPr>
        <w:t>切实维护广大股东的利益</w:t>
      </w:r>
      <w:r>
        <w:rPr>
          <w:rFonts w:ascii="仿宋_GB2312" w:eastAsia="仿宋_GB2312" w:cs="Times New Roman"/>
          <w:sz w:val="30"/>
          <w:szCs w:val="30"/>
        </w:rPr>
        <w:t>。</w:t>
      </w:r>
    </w:p>
    <w:p w:rsidR="00447284" w:rsidRDefault="00447284">
      <w:pPr>
        <w:pStyle w:val="a3"/>
        <w:spacing w:line="360" w:lineRule="auto"/>
        <w:ind w:firstLine="601"/>
        <w:rPr>
          <w:rFonts w:ascii="仿宋_GB2312" w:eastAsia="仿宋_GB2312" w:cs="Times New Roman"/>
          <w:sz w:val="30"/>
          <w:szCs w:val="30"/>
        </w:rPr>
      </w:pPr>
      <w:r>
        <w:rPr>
          <w:rFonts w:ascii="仿宋_GB2312" w:eastAsia="仿宋_GB2312" w:cs="Times New Roman"/>
          <w:sz w:val="30"/>
          <w:szCs w:val="30"/>
        </w:rPr>
        <w:t>二、公司的决策体系</w:t>
      </w:r>
    </w:p>
    <w:p w:rsidR="00447284" w:rsidRDefault="00447284">
      <w:pPr>
        <w:pStyle w:val="a3"/>
        <w:spacing w:line="360" w:lineRule="auto"/>
        <w:ind w:firstLine="601"/>
        <w:rPr>
          <w:rFonts w:ascii="仿宋_GB2312" w:eastAsia="仿宋_GB2312" w:cs="Times New Roman" w:hint="eastAsia"/>
          <w:sz w:val="30"/>
          <w:szCs w:val="30"/>
        </w:rPr>
      </w:pPr>
      <w:r>
        <w:rPr>
          <w:rFonts w:ascii="仿宋_GB2312" w:eastAsia="仿宋_GB2312" w:cs="Times New Roman" w:hint="eastAsia"/>
          <w:sz w:val="30"/>
          <w:szCs w:val="30"/>
        </w:rPr>
        <w:t>本</w:t>
      </w:r>
      <w:r>
        <w:rPr>
          <w:rFonts w:ascii="仿宋_GB2312" w:eastAsia="仿宋_GB2312" w:cs="Times New Roman"/>
          <w:sz w:val="30"/>
          <w:szCs w:val="30"/>
        </w:rPr>
        <w:t>公司最高的权</w:t>
      </w:r>
      <w:r>
        <w:rPr>
          <w:rFonts w:ascii="仿宋_GB2312" w:eastAsia="仿宋_GB2312" w:cs="Times New Roman" w:hint="eastAsia"/>
          <w:sz w:val="30"/>
          <w:szCs w:val="30"/>
        </w:rPr>
        <w:t>力</w:t>
      </w:r>
      <w:r>
        <w:rPr>
          <w:rFonts w:ascii="仿宋_GB2312" w:eastAsia="仿宋_GB2312" w:cs="Times New Roman"/>
          <w:sz w:val="30"/>
          <w:szCs w:val="30"/>
        </w:rPr>
        <w:t>机构是股东大会，通过董事会进行决策、管理，</w:t>
      </w:r>
      <w:r>
        <w:rPr>
          <w:rFonts w:ascii="仿宋_GB2312" w:eastAsia="仿宋_GB2312" w:cs="Times New Roman" w:hint="eastAsia"/>
          <w:sz w:val="30"/>
          <w:szCs w:val="30"/>
        </w:rPr>
        <w:t>由监事会行使监督职能。行长</w:t>
      </w:r>
      <w:r>
        <w:rPr>
          <w:rFonts w:ascii="仿宋_GB2312" w:eastAsia="仿宋_GB2312" w:cs="Times New Roman"/>
          <w:sz w:val="30"/>
          <w:szCs w:val="30"/>
        </w:rPr>
        <w:t>受聘于董事会，对</w:t>
      </w:r>
      <w:r>
        <w:rPr>
          <w:rFonts w:ascii="仿宋_GB2312" w:eastAsia="仿宋_GB2312" w:cs="Times New Roman" w:hint="eastAsia"/>
          <w:sz w:val="30"/>
          <w:szCs w:val="30"/>
        </w:rPr>
        <w:t>本公司</w:t>
      </w:r>
      <w:r>
        <w:rPr>
          <w:rFonts w:ascii="仿宋_GB2312" w:eastAsia="仿宋_GB2312" w:cs="Times New Roman"/>
          <w:sz w:val="30"/>
          <w:szCs w:val="30"/>
        </w:rPr>
        <w:t>日常经营管理全面负责。</w:t>
      </w:r>
      <w:r>
        <w:rPr>
          <w:rFonts w:ascii="仿宋_GB2312" w:eastAsia="仿宋_GB2312" w:cs="Times New Roman" w:hint="eastAsia"/>
          <w:sz w:val="30"/>
          <w:szCs w:val="30"/>
        </w:rPr>
        <w:t>本</w:t>
      </w:r>
      <w:r>
        <w:rPr>
          <w:rFonts w:ascii="仿宋_GB2312" w:eastAsia="仿宋_GB2312" w:cs="Times New Roman"/>
          <w:sz w:val="30"/>
          <w:szCs w:val="30"/>
        </w:rPr>
        <w:t xml:space="preserve">公司实行一级法人体制，各职能部门均为非独立核算单位，根据部门职能，开展业务经营活动。 </w:t>
      </w:r>
    </w:p>
    <w:p w:rsidR="00447284" w:rsidRDefault="00447284">
      <w:pPr>
        <w:spacing w:line="360" w:lineRule="auto"/>
        <w:jc w:val="center"/>
        <w:rPr>
          <w:rFonts w:ascii="黑体" w:eastAsia="黑体" w:hint="eastAsia"/>
          <w:b/>
          <w:sz w:val="30"/>
          <w:szCs w:val="30"/>
        </w:rPr>
      </w:pPr>
      <w:r>
        <w:rPr>
          <w:rFonts w:ascii="黑体" w:eastAsia="黑体" w:hint="eastAsia"/>
          <w:b/>
          <w:sz w:val="30"/>
          <w:szCs w:val="30"/>
        </w:rPr>
        <w:t>第六节   工作报告</w:t>
      </w:r>
    </w:p>
    <w:p w:rsidR="00447284" w:rsidRDefault="00447284">
      <w:pPr>
        <w:autoSpaceDE w:val="0"/>
        <w:autoSpaceDN w:val="0"/>
        <w:adjustRightInd w:val="0"/>
        <w:spacing w:line="360" w:lineRule="auto"/>
        <w:ind w:firstLine="54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w:t>
      </w:r>
      <w:r>
        <w:rPr>
          <w:rFonts w:ascii="仿宋_GB2312" w:eastAsia="仿宋_GB2312" w:hAnsi="仿宋_GB2312" w:cs="仿宋_GB2312"/>
          <w:sz w:val="30"/>
          <w:szCs w:val="30"/>
        </w:rPr>
        <w:t>坚持以服务“三农”为中心，推动业务经营稳健发展</w:t>
      </w:r>
      <w:r>
        <w:rPr>
          <w:rFonts w:ascii="仿宋_GB2312" w:eastAsia="仿宋_GB2312" w:hAnsi="仿宋_GB2312" w:cs="仿宋_GB2312" w:hint="eastAsia"/>
          <w:sz w:val="30"/>
          <w:szCs w:val="30"/>
        </w:rPr>
        <w:t>。</w:t>
      </w:r>
    </w:p>
    <w:p w:rsidR="00447284" w:rsidRDefault="00447284">
      <w:pPr>
        <w:ind w:firstLineChars="200" w:firstLine="600"/>
        <w:rPr>
          <w:rFonts w:ascii="仿宋_GB2312" w:eastAsia="仿宋_GB2312"/>
          <w:sz w:val="30"/>
          <w:szCs w:val="30"/>
        </w:rPr>
      </w:pPr>
      <w:r>
        <w:rPr>
          <w:rFonts w:ascii="仿宋_GB2312" w:eastAsia="仿宋_GB2312"/>
          <w:sz w:val="30"/>
          <w:szCs w:val="30"/>
        </w:rPr>
        <w:t>20</w:t>
      </w:r>
      <w:r>
        <w:rPr>
          <w:rFonts w:ascii="仿宋_GB2312" w:eastAsia="仿宋_GB2312" w:hint="eastAsia"/>
          <w:sz w:val="30"/>
          <w:szCs w:val="30"/>
        </w:rPr>
        <w:t>22</w:t>
      </w:r>
      <w:r>
        <w:rPr>
          <w:rFonts w:ascii="仿宋_GB2312" w:eastAsia="仿宋_GB2312"/>
          <w:sz w:val="30"/>
          <w:szCs w:val="30"/>
        </w:rPr>
        <w:t>年，霍邱联合村镇银行坚持以服务</w:t>
      </w:r>
      <w:r>
        <w:rPr>
          <w:rFonts w:ascii="仿宋_GB2312" w:eastAsia="仿宋_GB2312"/>
          <w:sz w:val="30"/>
          <w:szCs w:val="30"/>
        </w:rPr>
        <w:t>“</w:t>
      </w:r>
      <w:r>
        <w:rPr>
          <w:rFonts w:ascii="仿宋_GB2312" w:eastAsia="仿宋_GB2312"/>
          <w:sz w:val="30"/>
          <w:szCs w:val="30"/>
        </w:rPr>
        <w:t>三农</w:t>
      </w:r>
      <w:r>
        <w:rPr>
          <w:rFonts w:ascii="仿宋_GB2312" w:eastAsia="仿宋_GB2312"/>
          <w:sz w:val="30"/>
          <w:szCs w:val="30"/>
        </w:rPr>
        <w:t>”</w:t>
      </w:r>
      <w:r>
        <w:rPr>
          <w:rFonts w:ascii="仿宋_GB2312" w:eastAsia="仿宋_GB2312"/>
          <w:sz w:val="30"/>
          <w:szCs w:val="30"/>
        </w:rPr>
        <w:t>、服务小微为市场定位，</w:t>
      </w:r>
      <w:r>
        <w:rPr>
          <w:rFonts w:ascii="仿宋_GB2312" w:eastAsia="仿宋_GB2312" w:hint="eastAsia"/>
          <w:sz w:val="30"/>
          <w:szCs w:val="30"/>
        </w:rPr>
        <w:t>着重优化金融服务、强化内部管理、加大市场影响力，在广大股东、主发起行和社会各界的大力支持下，我们坚持以2022年度信贷投放计划为主要方案，</w:t>
      </w:r>
      <w:r>
        <w:rPr>
          <w:rFonts w:ascii="仿宋_GB2312" w:eastAsia="仿宋_GB2312"/>
          <w:sz w:val="30"/>
          <w:szCs w:val="30"/>
        </w:rPr>
        <w:t>按照强农、惠农、富农政策的要求，不断创新支农产品，创新服务手段，下沉服务重心，提高自身支农服务水平。</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lastRenderedPageBreak/>
        <w:t>（二）依法合规经营，各项经营指标达到监管要求。</w:t>
      </w:r>
    </w:p>
    <w:p w:rsidR="00447284" w:rsidRDefault="00447284">
      <w:pPr>
        <w:spacing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1、信用风险指标。报告期内，贷款不良率为0.69%。</w:t>
      </w:r>
    </w:p>
    <w:p w:rsidR="00447284" w:rsidRDefault="00447284">
      <w:pPr>
        <w:spacing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2、流动性风险指标。报告期内，流动性资产总和15751.82万元，流动性负债总和35716.45万元，流动性比例44.1%。</w:t>
      </w:r>
    </w:p>
    <w:p w:rsidR="00447284" w:rsidRDefault="00447284">
      <w:pPr>
        <w:spacing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3、风险抵补能力。报告期内，实现净利润1223.41万元，资产利润率1.39%，资本充足率18.62%,核心一级资本充足率17.58%。</w:t>
      </w:r>
    </w:p>
    <w:p w:rsidR="00447284" w:rsidRDefault="00447284">
      <w:pPr>
        <w:spacing w:line="360" w:lineRule="auto"/>
        <w:ind w:firstLineChars="200" w:firstLine="602"/>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（三）金融消费者权益保护</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为保护银行业消费者合法权益，进一步提高金融服务水平，本</w:t>
      </w:r>
      <w:r>
        <w:rPr>
          <w:rFonts w:ascii="仿宋_GB2312" w:eastAsia="仿宋_GB2312"/>
          <w:sz w:val="30"/>
          <w:szCs w:val="30"/>
        </w:rPr>
        <w:t>行通过不断完善公司治理，明确各级机构、人员的工作职责，采取归口管理、分级负责、分层控制的模式，加强金融消费者权益保护工作的体制机制建设，确保有效履行公正对待消费者的责任。金融消费者权益保护工作由</w:t>
      </w:r>
      <w:r>
        <w:rPr>
          <w:rFonts w:ascii="仿宋_GB2312" w:eastAsia="仿宋_GB2312" w:hint="eastAsia"/>
          <w:sz w:val="30"/>
          <w:szCs w:val="30"/>
        </w:rPr>
        <w:t>本</w:t>
      </w:r>
      <w:r>
        <w:rPr>
          <w:rFonts w:ascii="仿宋_GB2312" w:eastAsia="仿宋_GB2312"/>
          <w:sz w:val="30"/>
          <w:szCs w:val="30"/>
        </w:rPr>
        <w:t>行</w:t>
      </w:r>
      <w:r>
        <w:rPr>
          <w:rFonts w:ascii="仿宋_GB2312" w:eastAsia="仿宋_GB2312" w:hint="eastAsia"/>
          <w:sz w:val="30"/>
          <w:szCs w:val="30"/>
        </w:rPr>
        <w:t>综合管理部牵头</w:t>
      </w:r>
      <w:r>
        <w:rPr>
          <w:rFonts w:ascii="仿宋_GB2312" w:eastAsia="仿宋_GB2312"/>
          <w:sz w:val="30"/>
          <w:szCs w:val="30"/>
        </w:rPr>
        <w:t>，总行其他部室、各经营机构积极参与，共同开展消费者权益保护工作。</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本</w:t>
      </w:r>
      <w:r>
        <w:rPr>
          <w:rFonts w:ascii="仿宋_GB2312" w:eastAsia="仿宋_GB2312"/>
          <w:sz w:val="30"/>
          <w:szCs w:val="30"/>
        </w:rPr>
        <w:t>行董事会承担消费者权益保护工作的最终责任。负责制定金融消费者权益保护工作的战略、政策和目标；负责对金融消费者权益保护工作的总体规划及指导；负责督促高管层有效执行和落实相关工作，对相关工作进行审议并形成决议。</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本行</w:t>
      </w:r>
      <w:r>
        <w:rPr>
          <w:rFonts w:ascii="仿宋_GB2312" w:eastAsia="仿宋_GB2312"/>
          <w:sz w:val="30"/>
          <w:szCs w:val="30"/>
        </w:rPr>
        <w:t>建立健全金融消费者权益保护审查、内部考核、信息披露、投诉管理、金融宣教、突发事件应对等工作机制，确保在金融产品或服务的设计开发、营销推介及售后管理等各个业务环节有效落实金融消费者权益保护工作的相关规定和要求。</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lastRenderedPageBreak/>
        <w:t>本</w:t>
      </w:r>
      <w:r>
        <w:rPr>
          <w:rFonts w:ascii="仿宋_GB2312" w:eastAsia="仿宋_GB2312"/>
          <w:sz w:val="30"/>
          <w:szCs w:val="30"/>
        </w:rPr>
        <w:t>行切实履行客户投诉处理的主体责任，为客户投诉提供必要的人力物力财力资源，完善客户投诉处置工作机制，明确客户投诉处理流程、责任分工、处理时限等要求，确保及时妥善处理消费纠纷。</w:t>
      </w:r>
      <w:r>
        <w:rPr>
          <w:rFonts w:ascii="仿宋_GB2312" w:eastAsia="仿宋_GB2312" w:hint="eastAsia"/>
          <w:sz w:val="30"/>
          <w:szCs w:val="30"/>
        </w:rPr>
        <w:t>截至报告日，本行2022年度投诉事件为零。</w:t>
      </w:r>
    </w:p>
    <w:p w:rsidR="00447284" w:rsidRDefault="00447284">
      <w:pPr>
        <w:spacing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（三）资产、利润、费用、各项业务发展情况</w:t>
      </w:r>
    </w:p>
    <w:p w:rsidR="00447284" w:rsidRDefault="00447284">
      <w:pPr>
        <w:spacing w:line="360" w:lineRule="auto"/>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主要财务指标如下：</w:t>
      </w:r>
    </w:p>
    <w:p w:rsidR="00447284" w:rsidRDefault="00447284">
      <w:pPr>
        <w:numPr>
          <w:ilvl w:val="0"/>
          <w:numId w:val="2"/>
        </w:numPr>
        <w:tabs>
          <w:tab w:val="left" w:pos="1320"/>
        </w:tabs>
        <w:spacing w:line="360" w:lineRule="auto"/>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资本的构成(核心资本和附属资本)及其变化情况。</w:t>
      </w:r>
    </w:p>
    <w:p w:rsidR="00447284" w:rsidRDefault="00447284">
      <w:pPr>
        <w:spacing w:line="515" w:lineRule="exact"/>
        <w:ind w:firstLineChars="2300" w:firstLine="5520"/>
        <w:rPr>
          <w:rFonts w:eastAsia="仿宋_GB2312"/>
          <w:sz w:val="24"/>
        </w:rPr>
      </w:pPr>
      <w:r>
        <w:rPr>
          <w:rFonts w:eastAsia="仿宋_GB2312" w:hint="eastAsia"/>
          <w:sz w:val="24"/>
        </w:rPr>
        <w:t>单位：万元、</w:t>
      </w:r>
      <w:r>
        <w:rPr>
          <w:rFonts w:eastAsia="仿宋_GB2312"/>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680"/>
        <w:gridCol w:w="1920"/>
        <w:gridCol w:w="1920"/>
      </w:tblGrid>
      <w:tr w:rsidR="00447284">
        <w:trPr>
          <w:jc w:val="center"/>
        </w:trPr>
        <w:tc>
          <w:tcPr>
            <w:tcW w:w="2366" w:type="dxa"/>
            <w:vAlign w:val="center"/>
          </w:tcPr>
          <w:p w:rsidR="00447284" w:rsidRDefault="00447284">
            <w:pPr>
              <w:tabs>
                <w:tab w:val="center" w:pos="1602"/>
              </w:tabs>
              <w:spacing w:line="515" w:lineRule="exact"/>
              <w:ind w:firstLineChars="150" w:firstLine="360"/>
              <w:jc w:val="center"/>
              <w:rPr>
                <w:rFonts w:eastAsia="仿宋_GB2312"/>
                <w:sz w:val="24"/>
              </w:rPr>
            </w:pPr>
            <w:r>
              <w:rPr>
                <w:rFonts w:eastAsia="仿宋_GB2312" w:hint="eastAsia"/>
                <w:sz w:val="24"/>
              </w:rPr>
              <w:t>项</w:t>
            </w:r>
            <w:r>
              <w:rPr>
                <w:rFonts w:eastAsia="仿宋_GB2312"/>
                <w:sz w:val="24"/>
              </w:rPr>
              <w:t xml:space="preserve">    </w:t>
            </w:r>
            <w:r>
              <w:rPr>
                <w:rFonts w:eastAsia="仿宋_GB2312" w:hint="eastAsia"/>
                <w:sz w:val="24"/>
              </w:rPr>
              <w:t>目</w:t>
            </w:r>
          </w:p>
        </w:tc>
        <w:tc>
          <w:tcPr>
            <w:tcW w:w="1680" w:type="dxa"/>
            <w:vAlign w:val="center"/>
          </w:tcPr>
          <w:p w:rsidR="00447284" w:rsidRDefault="00447284">
            <w:pPr>
              <w:spacing w:line="515" w:lineRule="exact"/>
              <w:jc w:val="center"/>
              <w:rPr>
                <w:rFonts w:eastAsia="仿宋_GB2312" w:hint="eastAsia"/>
                <w:sz w:val="24"/>
              </w:rPr>
            </w:pPr>
            <w:r>
              <w:rPr>
                <w:rFonts w:eastAsia="仿宋_GB2312" w:hint="eastAsia"/>
                <w:sz w:val="24"/>
              </w:rPr>
              <w:t>2022-12-31</w:t>
            </w:r>
          </w:p>
        </w:tc>
        <w:tc>
          <w:tcPr>
            <w:tcW w:w="1920" w:type="dxa"/>
            <w:vAlign w:val="center"/>
          </w:tcPr>
          <w:p w:rsidR="00447284" w:rsidRDefault="00447284">
            <w:pPr>
              <w:spacing w:line="515" w:lineRule="exact"/>
              <w:jc w:val="center"/>
              <w:rPr>
                <w:rFonts w:eastAsia="仿宋_GB2312" w:hint="eastAsia"/>
                <w:sz w:val="24"/>
              </w:rPr>
            </w:pPr>
            <w:r>
              <w:rPr>
                <w:rFonts w:eastAsia="仿宋_GB2312" w:hint="eastAsia"/>
                <w:sz w:val="24"/>
              </w:rPr>
              <w:t>2021-12-31</w:t>
            </w:r>
          </w:p>
        </w:tc>
        <w:tc>
          <w:tcPr>
            <w:tcW w:w="1920" w:type="dxa"/>
          </w:tcPr>
          <w:p w:rsidR="00447284" w:rsidRDefault="00447284">
            <w:pPr>
              <w:spacing w:line="515" w:lineRule="exact"/>
              <w:jc w:val="center"/>
              <w:rPr>
                <w:rFonts w:eastAsia="仿宋_GB2312" w:hint="eastAsia"/>
                <w:sz w:val="24"/>
              </w:rPr>
            </w:pPr>
            <w:r>
              <w:rPr>
                <w:rFonts w:eastAsia="仿宋_GB2312" w:hint="eastAsia"/>
                <w:sz w:val="24"/>
              </w:rPr>
              <w:t>增（</w:t>
            </w:r>
            <w:r>
              <w:rPr>
                <w:rFonts w:eastAsia="仿宋_GB2312" w:hint="eastAsia"/>
                <w:sz w:val="24"/>
              </w:rPr>
              <w:t>+</w:t>
            </w:r>
            <w:r>
              <w:rPr>
                <w:rFonts w:eastAsia="仿宋_GB2312" w:hint="eastAsia"/>
                <w:sz w:val="24"/>
              </w:rPr>
              <w:t>）、减（</w:t>
            </w:r>
            <w:r>
              <w:rPr>
                <w:rFonts w:eastAsia="仿宋_GB2312" w:hint="eastAsia"/>
                <w:sz w:val="24"/>
              </w:rPr>
              <w:t>-</w:t>
            </w:r>
            <w:r>
              <w:rPr>
                <w:rFonts w:eastAsia="仿宋_GB2312" w:hint="eastAsia"/>
                <w:sz w:val="24"/>
              </w:rPr>
              <w:t>）</w:t>
            </w:r>
          </w:p>
        </w:tc>
      </w:tr>
      <w:tr w:rsidR="00447284">
        <w:trPr>
          <w:jc w:val="center"/>
        </w:trPr>
        <w:tc>
          <w:tcPr>
            <w:tcW w:w="2366" w:type="dxa"/>
            <w:vAlign w:val="center"/>
          </w:tcPr>
          <w:p w:rsidR="00447284" w:rsidRDefault="00447284">
            <w:pPr>
              <w:spacing w:line="515" w:lineRule="exact"/>
              <w:ind w:firstLineChars="150" w:firstLine="360"/>
              <w:jc w:val="center"/>
              <w:rPr>
                <w:rFonts w:eastAsia="仿宋_GB2312"/>
                <w:sz w:val="24"/>
              </w:rPr>
            </w:pPr>
            <w:r>
              <w:rPr>
                <w:rFonts w:eastAsia="仿宋_GB2312" w:hint="eastAsia"/>
                <w:sz w:val="24"/>
              </w:rPr>
              <w:t>核心资本</w:t>
            </w:r>
          </w:p>
        </w:tc>
        <w:tc>
          <w:tcPr>
            <w:tcW w:w="1680" w:type="dxa"/>
            <w:vAlign w:val="center"/>
          </w:tcPr>
          <w:p w:rsidR="00447284" w:rsidRDefault="00447284">
            <w:pPr>
              <w:spacing w:line="515" w:lineRule="exact"/>
              <w:jc w:val="center"/>
              <w:rPr>
                <w:rFonts w:eastAsia="仿宋_GB2312" w:hint="eastAsia"/>
                <w:sz w:val="24"/>
              </w:rPr>
            </w:pPr>
            <w:r>
              <w:rPr>
                <w:rFonts w:eastAsia="仿宋_GB2312" w:hint="eastAsia"/>
                <w:sz w:val="24"/>
              </w:rPr>
              <w:t>13482.28</w:t>
            </w:r>
          </w:p>
        </w:tc>
        <w:tc>
          <w:tcPr>
            <w:tcW w:w="1920" w:type="dxa"/>
            <w:vAlign w:val="center"/>
          </w:tcPr>
          <w:p w:rsidR="00447284" w:rsidRDefault="00447284">
            <w:pPr>
              <w:spacing w:line="515" w:lineRule="exact"/>
              <w:jc w:val="center"/>
              <w:rPr>
                <w:rFonts w:eastAsia="仿宋_GB2312" w:hint="eastAsia"/>
                <w:sz w:val="24"/>
              </w:rPr>
            </w:pPr>
            <w:r>
              <w:rPr>
                <w:rFonts w:eastAsia="仿宋_GB2312" w:hint="eastAsia"/>
                <w:sz w:val="24"/>
              </w:rPr>
              <w:t>13756.40</w:t>
            </w:r>
          </w:p>
        </w:tc>
        <w:tc>
          <w:tcPr>
            <w:tcW w:w="1920" w:type="dxa"/>
          </w:tcPr>
          <w:p w:rsidR="00447284" w:rsidRDefault="00447284">
            <w:pPr>
              <w:spacing w:line="515" w:lineRule="exact"/>
              <w:jc w:val="center"/>
              <w:rPr>
                <w:rFonts w:eastAsia="仿宋_GB2312"/>
                <w:sz w:val="24"/>
              </w:rPr>
            </w:pPr>
            <w:r>
              <w:rPr>
                <w:rFonts w:eastAsia="仿宋_GB2312" w:hint="eastAsia"/>
                <w:sz w:val="24"/>
              </w:rPr>
              <w:t>-274.12</w:t>
            </w:r>
          </w:p>
        </w:tc>
      </w:tr>
      <w:tr w:rsidR="00447284">
        <w:trPr>
          <w:trHeight w:val="483"/>
          <w:jc w:val="center"/>
        </w:trPr>
        <w:tc>
          <w:tcPr>
            <w:tcW w:w="2366" w:type="dxa"/>
            <w:vAlign w:val="center"/>
          </w:tcPr>
          <w:p w:rsidR="00447284" w:rsidRDefault="00447284">
            <w:pPr>
              <w:spacing w:line="515" w:lineRule="exact"/>
              <w:ind w:firstLineChars="150" w:firstLine="360"/>
              <w:jc w:val="center"/>
              <w:rPr>
                <w:rFonts w:eastAsia="仿宋_GB2312"/>
                <w:sz w:val="24"/>
              </w:rPr>
            </w:pPr>
            <w:r>
              <w:rPr>
                <w:rFonts w:eastAsia="仿宋_GB2312" w:hint="eastAsia"/>
                <w:sz w:val="24"/>
              </w:rPr>
              <w:t>附属资本</w:t>
            </w:r>
          </w:p>
        </w:tc>
        <w:tc>
          <w:tcPr>
            <w:tcW w:w="1680" w:type="dxa"/>
            <w:vAlign w:val="center"/>
          </w:tcPr>
          <w:p w:rsidR="00447284" w:rsidRDefault="00447284">
            <w:pPr>
              <w:spacing w:line="515" w:lineRule="exact"/>
              <w:jc w:val="center"/>
              <w:rPr>
                <w:rFonts w:eastAsia="仿宋_GB2312" w:hint="eastAsia"/>
                <w:sz w:val="24"/>
              </w:rPr>
            </w:pPr>
            <w:r>
              <w:rPr>
                <w:rFonts w:eastAsia="仿宋_GB2312" w:hint="eastAsia"/>
                <w:sz w:val="24"/>
              </w:rPr>
              <w:t>0</w:t>
            </w:r>
          </w:p>
        </w:tc>
        <w:tc>
          <w:tcPr>
            <w:tcW w:w="1920" w:type="dxa"/>
            <w:vAlign w:val="center"/>
          </w:tcPr>
          <w:p w:rsidR="00447284" w:rsidRDefault="00447284">
            <w:pPr>
              <w:spacing w:line="515" w:lineRule="exact"/>
              <w:jc w:val="center"/>
              <w:rPr>
                <w:rFonts w:eastAsia="仿宋_GB2312" w:hint="eastAsia"/>
                <w:sz w:val="24"/>
              </w:rPr>
            </w:pPr>
            <w:r>
              <w:rPr>
                <w:rFonts w:eastAsia="仿宋_GB2312" w:hint="eastAsia"/>
                <w:sz w:val="24"/>
              </w:rPr>
              <w:t xml:space="preserve">0 </w:t>
            </w:r>
          </w:p>
        </w:tc>
        <w:tc>
          <w:tcPr>
            <w:tcW w:w="1920" w:type="dxa"/>
          </w:tcPr>
          <w:p w:rsidR="00447284" w:rsidRDefault="00447284">
            <w:pPr>
              <w:spacing w:line="515" w:lineRule="exact"/>
              <w:jc w:val="center"/>
              <w:rPr>
                <w:rFonts w:eastAsia="仿宋_GB2312" w:hint="eastAsia"/>
                <w:sz w:val="24"/>
              </w:rPr>
            </w:pPr>
            <w:r>
              <w:rPr>
                <w:rFonts w:eastAsia="仿宋_GB2312" w:hint="eastAsia"/>
                <w:sz w:val="24"/>
              </w:rPr>
              <w:t xml:space="preserve"> 0</w:t>
            </w:r>
          </w:p>
        </w:tc>
      </w:tr>
      <w:tr w:rsidR="00447284">
        <w:trPr>
          <w:jc w:val="center"/>
        </w:trPr>
        <w:tc>
          <w:tcPr>
            <w:tcW w:w="2366" w:type="dxa"/>
            <w:vAlign w:val="center"/>
          </w:tcPr>
          <w:p w:rsidR="00447284" w:rsidRDefault="00447284">
            <w:pPr>
              <w:spacing w:line="515" w:lineRule="exact"/>
              <w:ind w:firstLineChars="150" w:firstLine="360"/>
              <w:jc w:val="center"/>
              <w:rPr>
                <w:rFonts w:eastAsia="仿宋_GB2312"/>
                <w:sz w:val="24"/>
              </w:rPr>
            </w:pPr>
            <w:r>
              <w:rPr>
                <w:rFonts w:eastAsia="仿宋_GB2312" w:hint="eastAsia"/>
                <w:sz w:val="24"/>
              </w:rPr>
              <w:t>资本充足率</w:t>
            </w:r>
          </w:p>
        </w:tc>
        <w:tc>
          <w:tcPr>
            <w:tcW w:w="1680" w:type="dxa"/>
            <w:vAlign w:val="center"/>
          </w:tcPr>
          <w:p w:rsidR="00447284" w:rsidRDefault="00447284">
            <w:pPr>
              <w:spacing w:line="515" w:lineRule="exact"/>
              <w:jc w:val="center"/>
              <w:rPr>
                <w:rFonts w:eastAsia="仿宋_GB2312"/>
                <w:sz w:val="24"/>
              </w:rPr>
            </w:pPr>
            <w:r>
              <w:rPr>
                <w:rFonts w:eastAsia="仿宋_GB2312" w:hint="eastAsia"/>
                <w:sz w:val="24"/>
              </w:rPr>
              <w:t>18.62</w:t>
            </w:r>
          </w:p>
        </w:tc>
        <w:tc>
          <w:tcPr>
            <w:tcW w:w="1920" w:type="dxa"/>
            <w:vAlign w:val="center"/>
          </w:tcPr>
          <w:p w:rsidR="00447284" w:rsidRDefault="00447284">
            <w:pPr>
              <w:spacing w:line="515" w:lineRule="exact"/>
              <w:jc w:val="center"/>
              <w:rPr>
                <w:rFonts w:eastAsia="仿宋_GB2312"/>
                <w:sz w:val="24"/>
              </w:rPr>
            </w:pPr>
            <w:r>
              <w:rPr>
                <w:rFonts w:eastAsia="仿宋_GB2312" w:hint="eastAsia"/>
                <w:sz w:val="24"/>
              </w:rPr>
              <w:t>20.91</w:t>
            </w:r>
          </w:p>
        </w:tc>
        <w:tc>
          <w:tcPr>
            <w:tcW w:w="1920" w:type="dxa"/>
          </w:tcPr>
          <w:p w:rsidR="00447284" w:rsidRDefault="00447284">
            <w:pPr>
              <w:spacing w:line="515" w:lineRule="exact"/>
              <w:jc w:val="center"/>
              <w:rPr>
                <w:rFonts w:eastAsia="仿宋_GB2312"/>
                <w:sz w:val="24"/>
              </w:rPr>
            </w:pPr>
            <w:r>
              <w:rPr>
                <w:rFonts w:eastAsia="仿宋_GB2312" w:hint="eastAsia"/>
                <w:sz w:val="24"/>
              </w:rPr>
              <w:t>-2.29</w:t>
            </w:r>
          </w:p>
        </w:tc>
      </w:tr>
    </w:tbl>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2、主要存、贷款类别按年度计算的平均余额及年均存、贷款利率。</w:t>
      </w:r>
    </w:p>
    <w:p w:rsidR="00447284" w:rsidRDefault="00447284">
      <w:pPr>
        <w:spacing w:line="515" w:lineRule="exact"/>
        <w:ind w:firstLineChars="2250" w:firstLine="5400"/>
        <w:rPr>
          <w:rFonts w:eastAsia="仿宋_GB2312"/>
          <w:sz w:val="24"/>
        </w:rPr>
      </w:pPr>
      <w:r>
        <w:rPr>
          <w:rFonts w:eastAsia="仿宋_GB2312" w:hint="eastAsia"/>
          <w:sz w:val="24"/>
        </w:rPr>
        <w:t>单位：万元、</w:t>
      </w:r>
      <w:r>
        <w:rPr>
          <w:rFonts w:eastAsia="仿宋_GB2312"/>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3132"/>
      </w:tblGrid>
      <w:tr w:rsidR="00447284">
        <w:trPr>
          <w:trHeight w:val="85"/>
          <w:jc w:val="center"/>
        </w:trPr>
        <w:tc>
          <w:tcPr>
            <w:tcW w:w="3131" w:type="dxa"/>
          </w:tcPr>
          <w:p w:rsidR="00447284" w:rsidRDefault="00447284">
            <w:pPr>
              <w:spacing w:line="515" w:lineRule="exact"/>
              <w:ind w:firstLineChars="13" w:firstLine="31"/>
              <w:jc w:val="center"/>
              <w:rPr>
                <w:rFonts w:eastAsia="仿宋_GB2312"/>
                <w:sz w:val="24"/>
              </w:rPr>
            </w:pPr>
            <w:r>
              <w:rPr>
                <w:rFonts w:eastAsia="仿宋_GB2312" w:hint="eastAsia"/>
                <w:sz w:val="24"/>
              </w:rPr>
              <w:t>项</w:t>
            </w:r>
            <w:r>
              <w:rPr>
                <w:rFonts w:eastAsia="仿宋_GB2312"/>
                <w:sz w:val="24"/>
              </w:rPr>
              <w:t xml:space="preserve">  </w:t>
            </w:r>
            <w:r>
              <w:rPr>
                <w:rFonts w:eastAsia="仿宋_GB2312" w:hint="eastAsia"/>
                <w:sz w:val="24"/>
              </w:rPr>
              <w:t>目</w:t>
            </w:r>
          </w:p>
        </w:tc>
        <w:tc>
          <w:tcPr>
            <w:tcW w:w="3132" w:type="dxa"/>
          </w:tcPr>
          <w:p w:rsidR="00447284" w:rsidRDefault="00447284">
            <w:pPr>
              <w:spacing w:line="515" w:lineRule="exact"/>
              <w:jc w:val="center"/>
              <w:rPr>
                <w:rFonts w:eastAsia="仿宋_GB2312" w:hint="eastAsia"/>
                <w:sz w:val="24"/>
              </w:rPr>
            </w:pPr>
            <w:r>
              <w:rPr>
                <w:rFonts w:eastAsia="仿宋_GB2312" w:hint="eastAsia"/>
                <w:sz w:val="24"/>
              </w:rPr>
              <w:t>2022-12-31</w:t>
            </w:r>
          </w:p>
        </w:tc>
      </w:tr>
      <w:tr w:rsidR="00447284">
        <w:trPr>
          <w:trHeight w:val="240"/>
          <w:jc w:val="center"/>
        </w:trPr>
        <w:tc>
          <w:tcPr>
            <w:tcW w:w="3131" w:type="dxa"/>
          </w:tcPr>
          <w:p w:rsidR="00447284" w:rsidRDefault="00447284">
            <w:pPr>
              <w:spacing w:line="515" w:lineRule="exact"/>
              <w:jc w:val="center"/>
              <w:rPr>
                <w:rFonts w:eastAsia="仿宋_GB2312"/>
                <w:sz w:val="24"/>
              </w:rPr>
            </w:pPr>
            <w:r>
              <w:rPr>
                <w:rFonts w:eastAsia="仿宋_GB2312" w:hint="eastAsia"/>
                <w:sz w:val="24"/>
              </w:rPr>
              <w:t>存款平均余额</w:t>
            </w:r>
          </w:p>
        </w:tc>
        <w:tc>
          <w:tcPr>
            <w:tcW w:w="3132" w:type="dxa"/>
            <w:vAlign w:val="center"/>
          </w:tcPr>
          <w:p w:rsidR="00447284" w:rsidRDefault="00447284">
            <w:pPr>
              <w:spacing w:line="515" w:lineRule="exact"/>
              <w:jc w:val="center"/>
              <w:rPr>
                <w:rFonts w:eastAsia="仿宋_GB2312"/>
                <w:sz w:val="24"/>
              </w:rPr>
            </w:pPr>
            <w:r>
              <w:rPr>
                <w:rFonts w:eastAsia="仿宋_GB2312" w:hint="eastAsia"/>
                <w:sz w:val="24"/>
              </w:rPr>
              <w:t>75268.97</w:t>
            </w:r>
          </w:p>
        </w:tc>
      </w:tr>
      <w:tr w:rsidR="00447284">
        <w:trPr>
          <w:trHeight w:val="240"/>
          <w:jc w:val="center"/>
        </w:trPr>
        <w:tc>
          <w:tcPr>
            <w:tcW w:w="3131" w:type="dxa"/>
          </w:tcPr>
          <w:p w:rsidR="00447284" w:rsidRDefault="00447284">
            <w:pPr>
              <w:spacing w:line="515" w:lineRule="exact"/>
              <w:jc w:val="center"/>
              <w:rPr>
                <w:rFonts w:eastAsia="仿宋_GB2312"/>
                <w:sz w:val="24"/>
              </w:rPr>
            </w:pPr>
            <w:r>
              <w:rPr>
                <w:rFonts w:eastAsia="仿宋_GB2312" w:hint="eastAsia"/>
                <w:sz w:val="24"/>
              </w:rPr>
              <w:t>贷款平均余额</w:t>
            </w:r>
          </w:p>
        </w:tc>
        <w:tc>
          <w:tcPr>
            <w:tcW w:w="3132" w:type="dxa"/>
            <w:vAlign w:val="center"/>
          </w:tcPr>
          <w:p w:rsidR="00447284" w:rsidRDefault="00447284">
            <w:pPr>
              <w:spacing w:line="515" w:lineRule="exact"/>
              <w:jc w:val="center"/>
              <w:rPr>
                <w:rFonts w:eastAsia="仿宋_GB2312"/>
                <w:sz w:val="24"/>
              </w:rPr>
            </w:pPr>
            <w:r>
              <w:rPr>
                <w:rFonts w:eastAsia="仿宋_GB2312" w:hint="eastAsia"/>
                <w:sz w:val="24"/>
              </w:rPr>
              <w:t>72145.55</w:t>
            </w:r>
          </w:p>
        </w:tc>
      </w:tr>
      <w:tr w:rsidR="00447284">
        <w:trPr>
          <w:trHeight w:val="240"/>
          <w:jc w:val="center"/>
        </w:trPr>
        <w:tc>
          <w:tcPr>
            <w:tcW w:w="3131" w:type="dxa"/>
          </w:tcPr>
          <w:p w:rsidR="00447284" w:rsidRDefault="00447284">
            <w:pPr>
              <w:spacing w:line="515" w:lineRule="exact"/>
              <w:jc w:val="center"/>
              <w:rPr>
                <w:rFonts w:eastAsia="仿宋_GB2312"/>
                <w:sz w:val="24"/>
              </w:rPr>
            </w:pPr>
            <w:r>
              <w:rPr>
                <w:rFonts w:eastAsia="仿宋_GB2312" w:hint="eastAsia"/>
                <w:sz w:val="24"/>
              </w:rPr>
              <w:t>年均存款利率</w:t>
            </w:r>
          </w:p>
        </w:tc>
        <w:tc>
          <w:tcPr>
            <w:tcW w:w="3132" w:type="dxa"/>
            <w:vAlign w:val="center"/>
          </w:tcPr>
          <w:p w:rsidR="00447284" w:rsidRDefault="00447284">
            <w:pPr>
              <w:spacing w:line="515" w:lineRule="exact"/>
              <w:jc w:val="center"/>
              <w:rPr>
                <w:rFonts w:eastAsia="仿宋_GB2312"/>
                <w:sz w:val="24"/>
              </w:rPr>
            </w:pPr>
            <w:r>
              <w:rPr>
                <w:rFonts w:eastAsia="仿宋_GB2312" w:hint="eastAsia"/>
                <w:sz w:val="24"/>
              </w:rPr>
              <w:t>1.88</w:t>
            </w:r>
          </w:p>
        </w:tc>
      </w:tr>
      <w:tr w:rsidR="00447284">
        <w:trPr>
          <w:trHeight w:val="240"/>
          <w:jc w:val="center"/>
        </w:trPr>
        <w:tc>
          <w:tcPr>
            <w:tcW w:w="3131" w:type="dxa"/>
          </w:tcPr>
          <w:p w:rsidR="00447284" w:rsidRDefault="00447284">
            <w:pPr>
              <w:spacing w:line="515" w:lineRule="exact"/>
              <w:jc w:val="center"/>
              <w:rPr>
                <w:rFonts w:eastAsia="仿宋_GB2312"/>
                <w:sz w:val="24"/>
              </w:rPr>
            </w:pPr>
            <w:r>
              <w:rPr>
                <w:rFonts w:eastAsia="仿宋_GB2312" w:hint="eastAsia"/>
                <w:sz w:val="24"/>
              </w:rPr>
              <w:t>年均贷款利率</w:t>
            </w:r>
          </w:p>
        </w:tc>
        <w:tc>
          <w:tcPr>
            <w:tcW w:w="3132" w:type="dxa"/>
            <w:vAlign w:val="center"/>
          </w:tcPr>
          <w:p w:rsidR="00447284" w:rsidRDefault="00447284">
            <w:pPr>
              <w:spacing w:line="515" w:lineRule="exact"/>
              <w:jc w:val="center"/>
              <w:rPr>
                <w:rFonts w:eastAsia="仿宋_GB2312"/>
                <w:sz w:val="24"/>
              </w:rPr>
            </w:pPr>
            <w:r>
              <w:rPr>
                <w:rFonts w:eastAsia="仿宋_GB2312" w:hint="eastAsia"/>
                <w:sz w:val="24"/>
              </w:rPr>
              <w:t>7.41</w:t>
            </w:r>
          </w:p>
        </w:tc>
      </w:tr>
    </w:tbl>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3、利润总额、净利润、营业利润等年度利润指标。</w:t>
      </w:r>
    </w:p>
    <w:p w:rsidR="00447284" w:rsidRDefault="00447284">
      <w:pPr>
        <w:spacing w:line="515" w:lineRule="exact"/>
        <w:rPr>
          <w:rFonts w:eastAsia="仿宋_GB2312"/>
          <w:sz w:val="24"/>
        </w:rPr>
      </w:pPr>
      <w:r>
        <w:rPr>
          <w:rFonts w:eastAsia="仿宋_GB2312" w:hint="eastAsia"/>
          <w:sz w:val="18"/>
          <w:szCs w:val="18"/>
        </w:rPr>
        <w:t xml:space="preserve">　　　　　　　　　　　</w:t>
      </w:r>
      <w:r>
        <w:rPr>
          <w:rFonts w:eastAsia="仿宋_GB2312"/>
          <w:sz w:val="18"/>
          <w:szCs w:val="18"/>
        </w:rPr>
        <w:t xml:space="preserve">                            </w:t>
      </w:r>
      <w:r>
        <w:rPr>
          <w:rFonts w:eastAsia="仿宋_GB2312" w:hint="eastAsia"/>
          <w:sz w:val="18"/>
          <w:szCs w:val="18"/>
        </w:rPr>
        <w:t xml:space="preserve">　</w:t>
      </w:r>
      <w:r>
        <w:rPr>
          <w:rFonts w:eastAsia="仿宋_GB2312"/>
          <w:sz w:val="18"/>
          <w:szCs w:val="18"/>
        </w:rPr>
        <w:t xml:space="preserve">        </w:t>
      </w:r>
      <w:r>
        <w:rPr>
          <w:rFonts w:eastAsia="仿宋_GB2312" w:hint="eastAsia"/>
          <w:sz w:val="24"/>
        </w:rPr>
        <w:t>单位：万元、</w:t>
      </w:r>
      <w:r>
        <w:rPr>
          <w:rFonts w:eastAsia="仿宋_GB2312"/>
          <w:sz w:val="24"/>
        </w:rPr>
        <w:t>%</w:t>
      </w:r>
    </w:p>
    <w:tbl>
      <w:tblPr>
        <w:tblW w:w="0" w:type="auto"/>
        <w:jc w:val="center"/>
        <w:tblInd w:w="0" w:type="dxa"/>
        <w:tblLayout w:type="fixed"/>
        <w:tblCellMar>
          <w:left w:w="0" w:type="dxa"/>
          <w:right w:w="0" w:type="dxa"/>
        </w:tblCellMar>
        <w:tblLook w:val="0000"/>
      </w:tblPr>
      <w:tblGrid>
        <w:gridCol w:w="3132"/>
        <w:gridCol w:w="3132"/>
      </w:tblGrid>
      <w:tr w:rsidR="00447284">
        <w:trPr>
          <w:trHeight w:val="232"/>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447284" w:rsidRDefault="00447284">
            <w:pPr>
              <w:spacing w:line="515" w:lineRule="exact"/>
              <w:jc w:val="center"/>
              <w:rPr>
                <w:rFonts w:eastAsia="仿宋_GB2312"/>
                <w:sz w:val="24"/>
              </w:rPr>
            </w:pPr>
            <w:r>
              <w:rPr>
                <w:rFonts w:eastAsia="仿宋_GB2312" w:hint="eastAsia"/>
                <w:sz w:val="24"/>
              </w:rPr>
              <w:t>项</w:t>
            </w:r>
            <w:r>
              <w:rPr>
                <w:rFonts w:eastAsia="仿宋_GB2312"/>
                <w:sz w:val="24"/>
              </w:rPr>
              <w:t xml:space="preserve">  </w:t>
            </w:r>
            <w:r>
              <w:rPr>
                <w:rFonts w:eastAsia="仿宋_GB2312" w:hint="eastAsia"/>
                <w:sz w:val="24"/>
              </w:rPr>
              <w:t>目</w:t>
            </w:r>
          </w:p>
        </w:tc>
        <w:tc>
          <w:tcPr>
            <w:tcW w:w="31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hint="eastAsia"/>
                <w:sz w:val="24"/>
              </w:rPr>
            </w:pPr>
            <w:r>
              <w:rPr>
                <w:rFonts w:eastAsia="仿宋_GB2312" w:hint="eastAsia"/>
                <w:sz w:val="24"/>
              </w:rPr>
              <w:t>2022-12-31</w:t>
            </w:r>
          </w:p>
        </w:tc>
      </w:tr>
      <w:tr w:rsidR="00447284">
        <w:trPr>
          <w:trHeight w:val="274"/>
          <w:jc w:val="center"/>
        </w:trPr>
        <w:tc>
          <w:tcPr>
            <w:tcW w:w="313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lastRenderedPageBreak/>
              <w:t>一、营业收入</w:t>
            </w:r>
          </w:p>
        </w:tc>
        <w:tc>
          <w:tcPr>
            <w:tcW w:w="31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5832.16</w:t>
            </w:r>
          </w:p>
        </w:tc>
      </w:tr>
      <w:tr w:rsidR="00447284">
        <w:trPr>
          <w:trHeight w:val="296"/>
          <w:jc w:val="center"/>
        </w:trPr>
        <w:tc>
          <w:tcPr>
            <w:tcW w:w="31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t>二、营业支出</w:t>
            </w:r>
          </w:p>
        </w:tc>
        <w:tc>
          <w:tcPr>
            <w:tcW w:w="31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4114.49</w:t>
            </w:r>
          </w:p>
        </w:tc>
      </w:tr>
      <w:tr w:rsidR="00447284">
        <w:trPr>
          <w:trHeight w:val="314"/>
          <w:jc w:val="center"/>
        </w:trPr>
        <w:tc>
          <w:tcPr>
            <w:tcW w:w="313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t>三、营业利润</w:t>
            </w:r>
          </w:p>
        </w:tc>
        <w:tc>
          <w:tcPr>
            <w:tcW w:w="3132" w:type="dxa"/>
            <w:tcBorders>
              <w:top w:val="nil"/>
              <w:left w:val="nil"/>
              <w:bottom w:val="single" w:sz="4" w:space="0" w:color="auto"/>
              <w:right w:val="single" w:sz="4" w:space="0" w:color="auto"/>
            </w:tcBorders>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1717.67</w:t>
            </w:r>
          </w:p>
        </w:tc>
      </w:tr>
      <w:tr w:rsidR="00447284">
        <w:trPr>
          <w:trHeight w:val="292"/>
          <w:jc w:val="center"/>
        </w:trPr>
        <w:tc>
          <w:tcPr>
            <w:tcW w:w="313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hint="eastAsia"/>
                <w:sz w:val="24"/>
              </w:rPr>
            </w:pPr>
            <w:r>
              <w:rPr>
                <w:rFonts w:eastAsia="仿宋_GB2312" w:hint="eastAsia"/>
                <w:sz w:val="24"/>
              </w:rPr>
              <w:t>四、营业外收入</w:t>
            </w:r>
          </w:p>
        </w:tc>
        <w:tc>
          <w:tcPr>
            <w:tcW w:w="31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2.09</w:t>
            </w:r>
          </w:p>
        </w:tc>
      </w:tr>
      <w:tr w:rsidR="00447284">
        <w:trPr>
          <w:trHeight w:val="296"/>
          <w:jc w:val="center"/>
        </w:trPr>
        <w:tc>
          <w:tcPr>
            <w:tcW w:w="313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t>五、利润总额</w:t>
            </w:r>
          </w:p>
        </w:tc>
        <w:tc>
          <w:tcPr>
            <w:tcW w:w="3132" w:type="dxa"/>
            <w:tcBorders>
              <w:top w:val="nil"/>
              <w:left w:val="nil"/>
              <w:bottom w:val="single" w:sz="4" w:space="0" w:color="auto"/>
              <w:right w:val="single" w:sz="4" w:space="0" w:color="auto"/>
            </w:tcBorders>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1649.76</w:t>
            </w:r>
          </w:p>
        </w:tc>
      </w:tr>
      <w:tr w:rsidR="00447284">
        <w:trPr>
          <w:trHeight w:val="286"/>
          <w:jc w:val="center"/>
        </w:trPr>
        <w:tc>
          <w:tcPr>
            <w:tcW w:w="3132"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t>六：所得税</w:t>
            </w:r>
          </w:p>
        </w:tc>
        <w:tc>
          <w:tcPr>
            <w:tcW w:w="313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sz w:val="24"/>
              </w:rPr>
            </w:pPr>
            <w:r>
              <w:rPr>
                <w:rFonts w:eastAsia="仿宋_GB2312" w:hint="eastAsia"/>
                <w:sz w:val="24"/>
              </w:rPr>
              <w:t>426.35</w:t>
            </w:r>
          </w:p>
        </w:tc>
      </w:tr>
      <w:tr w:rsidR="00447284">
        <w:trPr>
          <w:trHeight w:val="286"/>
          <w:jc w:val="center"/>
        </w:trPr>
        <w:tc>
          <w:tcPr>
            <w:tcW w:w="313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rPr>
                <w:rFonts w:eastAsia="仿宋_GB2312"/>
                <w:sz w:val="24"/>
              </w:rPr>
            </w:pPr>
            <w:r>
              <w:rPr>
                <w:rFonts w:eastAsia="仿宋_GB2312" w:hint="eastAsia"/>
                <w:sz w:val="24"/>
              </w:rPr>
              <w:t>七、净利润</w:t>
            </w:r>
          </w:p>
        </w:tc>
        <w:tc>
          <w:tcPr>
            <w:tcW w:w="31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447284" w:rsidRDefault="00447284">
            <w:pPr>
              <w:spacing w:line="515" w:lineRule="exact"/>
              <w:jc w:val="center"/>
              <w:rPr>
                <w:rFonts w:eastAsia="仿宋_GB2312" w:hint="eastAsia"/>
                <w:sz w:val="24"/>
              </w:rPr>
            </w:pPr>
            <w:r>
              <w:rPr>
                <w:rFonts w:eastAsia="仿宋_GB2312" w:hint="eastAsia"/>
                <w:sz w:val="24"/>
              </w:rPr>
              <w:t xml:space="preserve">1223.41 </w:t>
            </w:r>
          </w:p>
        </w:tc>
      </w:tr>
    </w:tbl>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4、主营业务收入、股东权益、每股净资产、每股净收益、净资产收益率等财务数据。</w:t>
      </w:r>
    </w:p>
    <w:p w:rsidR="00447284" w:rsidRDefault="00447284">
      <w:pPr>
        <w:spacing w:line="515" w:lineRule="exact"/>
        <w:ind w:firstLineChars="2300" w:firstLine="5520"/>
        <w:rPr>
          <w:rFonts w:eastAsia="仿宋_GB2312"/>
          <w:sz w:val="24"/>
        </w:rPr>
      </w:pPr>
      <w:r>
        <w:rPr>
          <w:rFonts w:eastAsia="仿宋_GB2312" w:hint="eastAsia"/>
          <w:sz w:val="24"/>
        </w:rPr>
        <w:t>单位：万元、</w:t>
      </w:r>
      <w:r>
        <w:rPr>
          <w:rFonts w:eastAsia="仿宋_GB2312"/>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3132"/>
      </w:tblGrid>
      <w:tr w:rsidR="00447284">
        <w:trPr>
          <w:jc w:val="center"/>
        </w:trPr>
        <w:tc>
          <w:tcPr>
            <w:tcW w:w="3143" w:type="dxa"/>
          </w:tcPr>
          <w:p w:rsidR="00447284" w:rsidRDefault="00447284">
            <w:pPr>
              <w:spacing w:line="515" w:lineRule="exact"/>
              <w:jc w:val="center"/>
              <w:rPr>
                <w:rFonts w:eastAsia="仿宋_GB2312"/>
                <w:sz w:val="24"/>
              </w:rPr>
            </w:pPr>
            <w:r>
              <w:rPr>
                <w:rFonts w:eastAsia="仿宋_GB2312" w:hint="eastAsia"/>
                <w:sz w:val="24"/>
              </w:rPr>
              <w:t>项</w:t>
            </w:r>
            <w:r>
              <w:rPr>
                <w:rFonts w:eastAsia="仿宋_GB2312"/>
                <w:sz w:val="24"/>
              </w:rPr>
              <w:t xml:space="preserve">  </w:t>
            </w:r>
            <w:r>
              <w:rPr>
                <w:rFonts w:eastAsia="仿宋_GB2312" w:hint="eastAsia"/>
                <w:sz w:val="24"/>
              </w:rPr>
              <w:t>目</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2022-12-31</w:t>
            </w:r>
          </w:p>
        </w:tc>
      </w:tr>
      <w:tr w:rsidR="00447284">
        <w:trPr>
          <w:jc w:val="center"/>
        </w:trPr>
        <w:tc>
          <w:tcPr>
            <w:tcW w:w="3143" w:type="dxa"/>
            <w:vAlign w:val="center"/>
          </w:tcPr>
          <w:p w:rsidR="00447284" w:rsidRDefault="00447284">
            <w:pPr>
              <w:spacing w:line="515" w:lineRule="exact"/>
              <w:jc w:val="center"/>
              <w:rPr>
                <w:rFonts w:eastAsia="仿宋_GB2312"/>
                <w:sz w:val="24"/>
              </w:rPr>
            </w:pPr>
            <w:r>
              <w:rPr>
                <w:rFonts w:eastAsia="仿宋_GB2312" w:hint="eastAsia"/>
                <w:sz w:val="24"/>
              </w:rPr>
              <w:t>主营业务收入</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5358.62</w:t>
            </w:r>
          </w:p>
        </w:tc>
      </w:tr>
      <w:tr w:rsidR="00447284">
        <w:trPr>
          <w:jc w:val="center"/>
        </w:trPr>
        <w:tc>
          <w:tcPr>
            <w:tcW w:w="3143" w:type="dxa"/>
            <w:vAlign w:val="center"/>
          </w:tcPr>
          <w:p w:rsidR="00447284" w:rsidRDefault="00447284">
            <w:pPr>
              <w:spacing w:line="515" w:lineRule="exact"/>
              <w:jc w:val="center"/>
              <w:rPr>
                <w:rFonts w:eastAsia="仿宋_GB2312"/>
                <w:sz w:val="24"/>
              </w:rPr>
            </w:pPr>
            <w:r>
              <w:rPr>
                <w:rFonts w:eastAsia="仿宋_GB2312" w:hint="eastAsia"/>
                <w:sz w:val="24"/>
              </w:rPr>
              <w:t>股东权益</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13482.28</w:t>
            </w:r>
          </w:p>
        </w:tc>
      </w:tr>
      <w:tr w:rsidR="00447284">
        <w:trPr>
          <w:jc w:val="center"/>
        </w:trPr>
        <w:tc>
          <w:tcPr>
            <w:tcW w:w="3143" w:type="dxa"/>
            <w:vAlign w:val="center"/>
          </w:tcPr>
          <w:p w:rsidR="00447284" w:rsidRDefault="00447284">
            <w:pPr>
              <w:spacing w:line="515" w:lineRule="exact"/>
              <w:jc w:val="center"/>
              <w:rPr>
                <w:rFonts w:eastAsia="仿宋_GB2312"/>
                <w:sz w:val="24"/>
              </w:rPr>
            </w:pPr>
            <w:r>
              <w:rPr>
                <w:rFonts w:eastAsia="仿宋_GB2312" w:hint="eastAsia"/>
                <w:sz w:val="24"/>
              </w:rPr>
              <w:t>每股净资产（元）</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1.93</w:t>
            </w:r>
          </w:p>
        </w:tc>
      </w:tr>
      <w:tr w:rsidR="00447284">
        <w:trPr>
          <w:jc w:val="center"/>
        </w:trPr>
        <w:tc>
          <w:tcPr>
            <w:tcW w:w="3143" w:type="dxa"/>
            <w:vAlign w:val="center"/>
          </w:tcPr>
          <w:p w:rsidR="00447284" w:rsidRDefault="00447284">
            <w:pPr>
              <w:spacing w:line="515" w:lineRule="exact"/>
              <w:jc w:val="center"/>
              <w:rPr>
                <w:rFonts w:eastAsia="仿宋_GB2312"/>
                <w:sz w:val="24"/>
              </w:rPr>
            </w:pPr>
            <w:r>
              <w:rPr>
                <w:rFonts w:eastAsia="仿宋_GB2312" w:hint="eastAsia"/>
                <w:sz w:val="24"/>
              </w:rPr>
              <w:t>每股净收益</w:t>
            </w:r>
            <w:r>
              <w:rPr>
                <w:rFonts w:eastAsia="仿宋_GB2312"/>
                <w:sz w:val="24"/>
              </w:rPr>
              <w:t>(</w:t>
            </w:r>
            <w:r>
              <w:rPr>
                <w:rFonts w:eastAsia="仿宋_GB2312" w:hint="eastAsia"/>
                <w:sz w:val="24"/>
              </w:rPr>
              <w:t>元</w:t>
            </w:r>
            <w:r>
              <w:rPr>
                <w:rFonts w:eastAsia="仿宋_GB2312"/>
                <w:sz w:val="24"/>
              </w:rPr>
              <w:t>)</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0.17</w:t>
            </w:r>
          </w:p>
        </w:tc>
      </w:tr>
      <w:tr w:rsidR="00447284">
        <w:trPr>
          <w:jc w:val="center"/>
        </w:trPr>
        <w:tc>
          <w:tcPr>
            <w:tcW w:w="3143" w:type="dxa"/>
            <w:vAlign w:val="center"/>
          </w:tcPr>
          <w:p w:rsidR="00447284" w:rsidRDefault="00447284">
            <w:pPr>
              <w:spacing w:line="515" w:lineRule="exact"/>
              <w:jc w:val="center"/>
              <w:rPr>
                <w:rFonts w:eastAsia="仿宋_GB2312"/>
                <w:sz w:val="24"/>
              </w:rPr>
            </w:pPr>
            <w:r>
              <w:rPr>
                <w:rFonts w:eastAsia="仿宋_GB2312" w:hint="eastAsia"/>
                <w:sz w:val="24"/>
              </w:rPr>
              <w:t>净资产收益率</w:t>
            </w:r>
          </w:p>
        </w:tc>
        <w:tc>
          <w:tcPr>
            <w:tcW w:w="3132" w:type="dxa"/>
            <w:vAlign w:val="center"/>
          </w:tcPr>
          <w:p w:rsidR="00447284" w:rsidRDefault="00DE0942">
            <w:pPr>
              <w:spacing w:line="515" w:lineRule="exact"/>
              <w:jc w:val="center"/>
              <w:rPr>
                <w:rFonts w:eastAsia="仿宋_GB2312" w:hint="eastAsia"/>
                <w:sz w:val="24"/>
                <w:highlight w:val="green"/>
              </w:rPr>
            </w:pPr>
            <w:r w:rsidRPr="00DA44EC">
              <w:rPr>
                <w:rFonts w:eastAsia="仿宋_GB2312" w:hint="eastAsia"/>
                <w:sz w:val="24"/>
              </w:rPr>
              <w:t>9.</w:t>
            </w:r>
            <w:r>
              <w:rPr>
                <w:rFonts w:eastAsia="仿宋_GB2312" w:hint="eastAsia"/>
                <w:sz w:val="24"/>
              </w:rPr>
              <w:t>21</w:t>
            </w:r>
            <w:r w:rsidRPr="00DA44EC">
              <w:rPr>
                <w:rFonts w:eastAsia="仿宋_GB2312" w:hint="eastAsia"/>
                <w:sz w:val="24"/>
              </w:rPr>
              <w:t>%</w:t>
            </w:r>
          </w:p>
        </w:tc>
      </w:tr>
    </w:tbl>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5、本公司认真执行资产负债比例管理规定，主要指标完成较好。</w:t>
      </w:r>
    </w:p>
    <w:p w:rsidR="00447284" w:rsidRDefault="00447284">
      <w:pPr>
        <w:spacing w:line="515" w:lineRule="exact"/>
        <w:ind w:firstLineChars="2550" w:firstLine="6120"/>
        <w:rPr>
          <w:rFonts w:eastAsia="仿宋_GB2312"/>
          <w:sz w:val="24"/>
        </w:rPr>
      </w:pPr>
      <w:r>
        <w:rPr>
          <w:rFonts w:eastAsia="仿宋_GB2312" w:hint="eastAsia"/>
          <w:sz w:val="24"/>
        </w:rPr>
        <w:t>单位：</w:t>
      </w:r>
      <w:r>
        <w:rPr>
          <w:rFonts w:eastAsia="仿宋_GB2312"/>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0"/>
        <w:gridCol w:w="2763"/>
      </w:tblGrid>
      <w:tr w:rsidR="00447284">
        <w:trPr>
          <w:jc w:val="center"/>
        </w:trPr>
        <w:tc>
          <w:tcPr>
            <w:tcW w:w="3500" w:type="dxa"/>
          </w:tcPr>
          <w:p w:rsidR="00447284" w:rsidRDefault="00447284">
            <w:pPr>
              <w:pStyle w:val="a3"/>
              <w:spacing w:line="515" w:lineRule="exact"/>
              <w:jc w:val="center"/>
              <w:rPr>
                <w:rFonts w:ascii="Times New Roman" w:hAnsi="Times New Roman"/>
                <w:sz w:val="24"/>
              </w:rPr>
            </w:pPr>
            <w:r>
              <w:rPr>
                <w:rFonts w:ascii="Times New Roman" w:hAnsi="Times New Roman" w:hint="eastAsia"/>
                <w:sz w:val="24"/>
              </w:rPr>
              <w:t>项</w:t>
            </w:r>
            <w:r>
              <w:rPr>
                <w:rFonts w:ascii="Times New Roman" w:hAnsi="Times New Roman"/>
                <w:sz w:val="24"/>
              </w:rPr>
              <w:t xml:space="preserve">  </w:t>
            </w:r>
            <w:r>
              <w:rPr>
                <w:rFonts w:ascii="Times New Roman" w:hAnsi="Times New Roman" w:hint="eastAsia"/>
                <w:sz w:val="24"/>
              </w:rPr>
              <w:t>目</w:t>
            </w:r>
          </w:p>
        </w:tc>
        <w:tc>
          <w:tcPr>
            <w:tcW w:w="2763" w:type="dxa"/>
            <w:vAlign w:val="center"/>
          </w:tcPr>
          <w:p w:rsidR="00447284" w:rsidRDefault="00447284">
            <w:pPr>
              <w:spacing w:line="515" w:lineRule="exact"/>
              <w:jc w:val="center"/>
              <w:rPr>
                <w:rFonts w:eastAsia="仿宋_GB2312" w:hint="eastAsia"/>
                <w:sz w:val="24"/>
              </w:rPr>
            </w:pPr>
            <w:r>
              <w:rPr>
                <w:rFonts w:eastAsia="仿宋_GB2312" w:hint="eastAsia"/>
                <w:sz w:val="24"/>
              </w:rPr>
              <w:t>2022-12-31</w:t>
            </w:r>
          </w:p>
        </w:tc>
      </w:tr>
      <w:tr w:rsidR="00447284">
        <w:trPr>
          <w:jc w:val="center"/>
        </w:trPr>
        <w:tc>
          <w:tcPr>
            <w:tcW w:w="3500" w:type="dxa"/>
            <w:vAlign w:val="center"/>
          </w:tcPr>
          <w:p w:rsidR="00447284" w:rsidRDefault="00447284">
            <w:pPr>
              <w:pStyle w:val="a3"/>
              <w:spacing w:line="515"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不良贷款比例(五级分类)</w:t>
            </w:r>
          </w:p>
        </w:tc>
        <w:tc>
          <w:tcPr>
            <w:tcW w:w="2763" w:type="dxa"/>
            <w:vAlign w:val="center"/>
          </w:tcPr>
          <w:p w:rsidR="00447284" w:rsidRDefault="00447284">
            <w:pPr>
              <w:spacing w:line="515" w:lineRule="exact"/>
              <w:jc w:val="center"/>
              <w:rPr>
                <w:rFonts w:eastAsia="仿宋_GB2312"/>
                <w:sz w:val="24"/>
              </w:rPr>
            </w:pPr>
            <w:r>
              <w:rPr>
                <w:rFonts w:eastAsia="仿宋_GB2312" w:hint="eastAsia"/>
                <w:sz w:val="24"/>
              </w:rPr>
              <w:t>0.69</w:t>
            </w:r>
          </w:p>
        </w:tc>
      </w:tr>
      <w:tr w:rsidR="00447284">
        <w:trPr>
          <w:jc w:val="center"/>
        </w:trPr>
        <w:tc>
          <w:tcPr>
            <w:tcW w:w="3500" w:type="dxa"/>
            <w:vAlign w:val="center"/>
          </w:tcPr>
          <w:p w:rsidR="00447284" w:rsidRDefault="00447284">
            <w:pPr>
              <w:pStyle w:val="a3"/>
              <w:spacing w:line="515"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存贷款比例</w:t>
            </w:r>
          </w:p>
        </w:tc>
        <w:tc>
          <w:tcPr>
            <w:tcW w:w="2763" w:type="dxa"/>
            <w:vAlign w:val="center"/>
          </w:tcPr>
          <w:p w:rsidR="00447284" w:rsidRDefault="00447284">
            <w:pPr>
              <w:spacing w:line="515" w:lineRule="exact"/>
              <w:jc w:val="center"/>
              <w:rPr>
                <w:rFonts w:eastAsia="仿宋_GB2312"/>
                <w:sz w:val="24"/>
              </w:rPr>
            </w:pPr>
            <w:r>
              <w:rPr>
                <w:rFonts w:eastAsia="仿宋_GB2312" w:hint="eastAsia"/>
                <w:sz w:val="24"/>
              </w:rPr>
              <w:t>105.72</w:t>
            </w:r>
          </w:p>
        </w:tc>
      </w:tr>
      <w:tr w:rsidR="00447284">
        <w:trPr>
          <w:jc w:val="center"/>
        </w:trPr>
        <w:tc>
          <w:tcPr>
            <w:tcW w:w="3500" w:type="dxa"/>
            <w:vAlign w:val="center"/>
          </w:tcPr>
          <w:p w:rsidR="00447284" w:rsidRDefault="00447284">
            <w:pPr>
              <w:pStyle w:val="a3"/>
              <w:spacing w:line="515"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资产流动性比例</w:t>
            </w:r>
          </w:p>
        </w:tc>
        <w:tc>
          <w:tcPr>
            <w:tcW w:w="2763" w:type="dxa"/>
            <w:vAlign w:val="center"/>
          </w:tcPr>
          <w:p w:rsidR="00447284" w:rsidRDefault="00447284">
            <w:pPr>
              <w:spacing w:line="515" w:lineRule="exact"/>
              <w:jc w:val="center"/>
              <w:rPr>
                <w:rFonts w:eastAsia="仿宋_GB2312"/>
                <w:sz w:val="24"/>
              </w:rPr>
            </w:pPr>
            <w:r>
              <w:rPr>
                <w:rFonts w:eastAsia="仿宋_GB2312" w:hint="eastAsia"/>
                <w:sz w:val="24"/>
              </w:rPr>
              <w:t xml:space="preserve"> 44.1</w:t>
            </w:r>
          </w:p>
        </w:tc>
      </w:tr>
    </w:tbl>
    <w:p w:rsidR="00447284" w:rsidRDefault="00447284">
      <w:pPr>
        <w:spacing w:line="360" w:lineRule="auto"/>
        <w:rPr>
          <w:rFonts w:ascii="仿宋_GB2312" w:eastAsia="仿宋_GB2312" w:hint="eastAsia"/>
          <w:sz w:val="30"/>
          <w:szCs w:val="30"/>
        </w:rPr>
      </w:pP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6、本公司提供的金融产品与服务，主要包括存款、贷款、代发银行卡等业务。报告期内各项业务均保持平稳健康的发展。</w:t>
      </w: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7、本公司在核准的经营范围内依法合规地开展各项业务经营活动，贷款业务、同业存放以及结算等为收入的主要来源。</w:t>
      </w: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（四）主要业务情况</w:t>
      </w:r>
    </w:p>
    <w:p w:rsidR="00447284" w:rsidRDefault="00447284">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、报告期末前十名贷款客户情况（截至2022年底）</w:t>
      </w:r>
      <w:r>
        <w:rPr>
          <w:rFonts w:eastAsia="仿宋_GB2312"/>
          <w:sz w:val="30"/>
          <w:szCs w:val="30"/>
        </w:rPr>
        <w:t xml:space="preserve">                   </w:t>
      </w:r>
      <w:r>
        <w:rPr>
          <w:rFonts w:eastAsia="仿宋_GB2312"/>
          <w:sz w:val="28"/>
        </w:rPr>
        <w:t xml:space="preserve">                   </w:t>
      </w:r>
    </w:p>
    <w:p w:rsidR="00447284" w:rsidRDefault="00447284">
      <w:pPr>
        <w:spacing w:line="515" w:lineRule="exact"/>
        <w:ind w:right="420" w:firstLine="600"/>
        <w:jc w:val="right"/>
        <w:rPr>
          <w:rFonts w:eastAsia="仿宋_GB2312"/>
          <w:sz w:val="24"/>
        </w:rPr>
      </w:pPr>
      <w:r>
        <w:rPr>
          <w:rFonts w:eastAsia="仿宋_GB2312"/>
          <w:sz w:val="28"/>
        </w:rPr>
        <w:t xml:space="preserve"> </w:t>
      </w:r>
      <w:r>
        <w:rPr>
          <w:rFonts w:eastAsia="仿宋_GB2312" w:hint="eastAsia"/>
          <w:sz w:val="24"/>
        </w:rPr>
        <w:t>单位：万元，</w:t>
      </w:r>
      <w:r>
        <w:rPr>
          <w:rFonts w:eastAsia="仿宋_GB2312"/>
          <w:sz w:val="24"/>
        </w:rPr>
        <w:t>%</w:t>
      </w:r>
    </w:p>
    <w:tbl>
      <w:tblPr>
        <w:tblW w:w="92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2"/>
        <w:gridCol w:w="1596"/>
        <w:gridCol w:w="1885"/>
        <w:gridCol w:w="1885"/>
      </w:tblGrid>
      <w:tr w:rsidR="00447284">
        <w:trPr>
          <w:cantSplit/>
          <w:trHeight w:val="386"/>
        </w:trPr>
        <w:tc>
          <w:tcPr>
            <w:tcW w:w="3882" w:type="dxa"/>
            <w:tcBorders>
              <w:top w:val="single" w:sz="4" w:space="0" w:color="ED7F13"/>
              <w:left w:val="single" w:sz="4" w:space="0" w:color="FFFFFF"/>
              <w:bottom w:val="single" w:sz="4" w:space="0" w:color="ED7F13"/>
              <w:right w:val="single" w:sz="4" w:space="0" w:color="F9D4AF"/>
            </w:tcBorders>
            <w:shd w:val="clear" w:color="auto" w:fill="FFFFFF"/>
            <w:vAlign w:val="center"/>
          </w:tcPr>
          <w:p w:rsidR="00447284" w:rsidRDefault="00447284">
            <w:pPr>
              <w:pStyle w:val="a3"/>
              <w:spacing w:line="515" w:lineRule="exact"/>
              <w:jc w:val="center"/>
              <w:rPr>
                <w:rFonts w:ascii="仿宋_GB2312" w:eastAsia="仿宋_GB2312" w:hAnsi="Times New Roman" w:hint="eastAsia"/>
                <w:color w:val="000000"/>
              </w:rPr>
            </w:pPr>
            <w:r>
              <w:rPr>
                <w:rFonts w:ascii="仿宋_GB2312" w:eastAsia="仿宋_GB2312" w:hAnsi="宋体" w:hint="eastAsia"/>
                <w:color w:val="000000"/>
              </w:rPr>
              <w:t>客户名称</w:t>
            </w:r>
          </w:p>
        </w:tc>
        <w:tc>
          <w:tcPr>
            <w:tcW w:w="1596" w:type="dxa"/>
            <w:tcBorders>
              <w:top w:val="single" w:sz="4" w:space="0" w:color="ED7F13"/>
              <w:left w:val="single" w:sz="4" w:space="0" w:color="F9D4AF"/>
              <w:bottom w:val="single" w:sz="4" w:space="0" w:color="ED7F13"/>
              <w:right w:val="single" w:sz="4" w:space="0" w:color="F9D4AF"/>
            </w:tcBorders>
            <w:shd w:val="clear" w:color="auto" w:fill="FFFFFF"/>
            <w:vAlign w:val="center"/>
          </w:tcPr>
          <w:p w:rsidR="00447284" w:rsidRDefault="00447284">
            <w:pPr>
              <w:pStyle w:val="a3"/>
              <w:spacing w:line="515" w:lineRule="exact"/>
              <w:jc w:val="center"/>
              <w:rPr>
                <w:rFonts w:ascii="仿宋_GB2312" w:eastAsia="仿宋_GB2312" w:hAnsi="Times New Roman" w:hint="eastAsia"/>
                <w:color w:val="000000"/>
              </w:rPr>
            </w:pPr>
            <w:r>
              <w:rPr>
                <w:rFonts w:ascii="仿宋_GB2312" w:eastAsia="仿宋_GB2312" w:hAnsi="宋体" w:hint="eastAsia"/>
                <w:color w:val="000000"/>
              </w:rPr>
              <w:t>年末贷款余额</w:t>
            </w:r>
          </w:p>
        </w:tc>
        <w:tc>
          <w:tcPr>
            <w:tcW w:w="1885" w:type="dxa"/>
            <w:tcBorders>
              <w:top w:val="single" w:sz="4" w:space="0" w:color="ED7F13"/>
              <w:left w:val="single" w:sz="4" w:space="0" w:color="F9D4AF"/>
              <w:bottom w:val="single" w:sz="4" w:space="0" w:color="ED7F13"/>
              <w:right w:val="single" w:sz="4" w:space="0" w:color="F9D4AF"/>
            </w:tcBorders>
            <w:shd w:val="clear" w:color="auto" w:fill="FFFFFF"/>
            <w:vAlign w:val="center"/>
          </w:tcPr>
          <w:p w:rsidR="00447284" w:rsidRDefault="00447284">
            <w:pPr>
              <w:pStyle w:val="a3"/>
              <w:spacing w:line="515" w:lineRule="exact"/>
              <w:jc w:val="center"/>
              <w:rPr>
                <w:rFonts w:ascii="仿宋_GB2312" w:eastAsia="仿宋_GB2312" w:hAnsi="Times New Roman" w:hint="eastAsia"/>
                <w:color w:val="000000"/>
              </w:rPr>
            </w:pPr>
            <w:r>
              <w:rPr>
                <w:rFonts w:ascii="仿宋_GB2312" w:eastAsia="仿宋_GB2312" w:hAnsi="宋体" w:hint="eastAsia"/>
                <w:color w:val="000000"/>
              </w:rPr>
              <w:t>占贷款总额比例</w:t>
            </w:r>
          </w:p>
        </w:tc>
        <w:tc>
          <w:tcPr>
            <w:tcW w:w="1885" w:type="dxa"/>
            <w:tcBorders>
              <w:top w:val="single" w:sz="4" w:space="0" w:color="ED7F13"/>
              <w:left w:val="single" w:sz="4" w:space="0" w:color="F9D4AF"/>
              <w:bottom w:val="single" w:sz="4" w:space="0" w:color="ED7F13"/>
              <w:right w:val="single" w:sz="4" w:space="0" w:color="FFFFFF"/>
            </w:tcBorders>
            <w:shd w:val="clear" w:color="auto" w:fill="FFFFFF"/>
            <w:vAlign w:val="center"/>
          </w:tcPr>
          <w:p w:rsidR="00447284" w:rsidRDefault="00447284">
            <w:pPr>
              <w:pStyle w:val="a3"/>
              <w:spacing w:line="515" w:lineRule="exact"/>
              <w:jc w:val="center"/>
              <w:rPr>
                <w:rFonts w:ascii="仿宋_GB2312" w:eastAsia="仿宋_GB2312" w:hAnsi="Times New Roman" w:hint="eastAsia"/>
                <w:color w:val="000000"/>
              </w:rPr>
            </w:pPr>
            <w:r>
              <w:rPr>
                <w:rFonts w:ascii="仿宋_GB2312" w:eastAsia="仿宋_GB2312" w:hAnsi="宋体" w:hint="eastAsia"/>
                <w:color w:val="000000"/>
              </w:rPr>
              <w:t>占资本净额比例</w:t>
            </w:r>
          </w:p>
        </w:tc>
      </w:tr>
      <w:tr w:rsidR="00447284">
        <w:trPr>
          <w:cantSplit/>
          <w:trHeight w:val="307"/>
        </w:trPr>
        <w:tc>
          <w:tcPr>
            <w:tcW w:w="3882" w:type="dxa"/>
            <w:tcBorders>
              <w:top w:val="single" w:sz="4" w:space="0" w:color="ED7F13"/>
              <w:left w:val="single" w:sz="4" w:space="0" w:color="FFFFFF"/>
              <w:bottom w:val="single" w:sz="4" w:space="0" w:color="F9D4AF"/>
              <w:right w:val="single" w:sz="4" w:space="0" w:color="F9D4AF"/>
            </w:tcBorders>
            <w:shd w:val="clear" w:color="auto" w:fill="FEF2E7"/>
            <w:vAlign w:val="center"/>
          </w:tcPr>
          <w:p w:rsidR="00447284" w:rsidRDefault="00447284">
            <w:pPr>
              <w:widowControl/>
              <w:jc w:val="left"/>
              <w:textAlignment w:val="center"/>
              <w:rPr>
                <w:rFonts w:ascii="宋体" w:hAnsi="宋体" w:cs="Tahoma"/>
                <w:color w:val="000000"/>
                <w:sz w:val="20"/>
                <w:szCs w:val="20"/>
              </w:rPr>
            </w:pPr>
            <w:r>
              <w:rPr>
                <w:rFonts w:ascii="宋体" w:hAnsi="宋体" w:cs="宋体" w:hint="eastAsia"/>
                <w:color w:val="000000"/>
                <w:kern w:val="0"/>
                <w:sz w:val="20"/>
                <w:szCs w:val="20"/>
                <w:lang/>
              </w:rPr>
              <w:t>霍邱县联友金属制品厂</w:t>
            </w:r>
          </w:p>
        </w:tc>
        <w:tc>
          <w:tcPr>
            <w:tcW w:w="1596" w:type="dxa"/>
            <w:tcBorders>
              <w:top w:val="single" w:sz="4" w:space="0" w:color="ED7F13"/>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Arial" w:hAnsi="Arial" w:cs="Arial"/>
                <w:color w:val="000000"/>
                <w:kern w:val="0"/>
                <w:sz w:val="20"/>
                <w:szCs w:val="20"/>
                <w:lang/>
              </w:rPr>
              <w:t>498</w:t>
            </w:r>
          </w:p>
        </w:tc>
        <w:tc>
          <w:tcPr>
            <w:tcW w:w="1885" w:type="dxa"/>
            <w:tcBorders>
              <w:top w:val="single" w:sz="4" w:space="0" w:color="ED7F13"/>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color w:val="000000"/>
                <w:sz w:val="24"/>
                <w:szCs w:val="24"/>
              </w:rPr>
            </w:pPr>
            <w:r>
              <w:rPr>
                <w:rFonts w:ascii="Arial" w:hAnsi="Arial" w:cs="Arial" w:hint="eastAsia"/>
                <w:color w:val="000000"/>
                <w:kern w:val="0"/>
                <w:sz w:val="20"/>
                <w:szCs w:val="20"/>
                <w:lang/>
              </w:rPr>
              <w:t>0.63</w:t>
            </w:r>
            <w:r>
              <w:rPr>
                <w:rFonts w:ascii="Arial" w:hAnsi="Arial" w:cs="Arial"/>
                <w:color w:val="000000"/>
                <w:kern w:val="0"/>
                <w:sz w:val="20"/>
                <w:szCs w:val="20"/>
                <w:lang/>
              </w:rPr>
              <w:t>%</w:t>
            </w:r>
          </w:p>
        </w:tc>
        <w:tc>
          <w:tcPr>
            <w:tcW w:w="1885" w:type="dxa"/>
            <w:tcBorders>
              <w:top w:val="single" w:sz="4" w:space="0" w:color="ED7F13"/>
              <w:left w:val="single" w:sz="4" w:space="0" w:color="F9D4AF"/>
              <w:bottom w:val="single" w:sz="4" w:space="0" w:color="F9D4AF"/>
              <w:right w:val="single" w:sz="4" w:space="0" w:color="FFFFF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Arial" w:hAnsi="Arial" w:cs="Arial" w:hint="eastAsia"/>
                <w:color w:val="000000"/>
                <w:kern w:val="0"/>
                <w:sz w:val="20"/>
                <w:szCs w:val="20"/>
                <w:lang/>
              </w:rPr>
              <w:t>3.49</w:t>
            </w:r>
            <w:r>
              <w:rPr>
                <w:rFonts w:ascii="Arial" w:hAnsi="Arial" w:cs="Arial"/>
                <w:color w:val="000000"/>
                <w:kern w:val="0"/>
                <w:sz w:val="20"/>
                <w:szCs w:val="20"/>
                <w:lang/>
              </w:rPr>
              <w:t>%</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FFFFF"/>
            <w:vAlign w:val="center"/>
          </w:tcPr>
          <w:p w:rsidR="00447284" w:rsidRDefault="00447284">
            <w:pPr>
              <w:widowControl/>
              <w:jc w:val="left"/>
              <w:textAlignment w:val="center"/>
              <w:rPr>
                <w:rFonts w:ascii="宋体" w:hAnsi="宋体" w:cs="Tahoma"/>
                <w:color w:val="000000"/>
                <w:sz w:val="20"/>
                <w:szCs w:val="20"/>
              </w:rPr>
            </w:pPr>
            <w:r>
              <w:rPr>
                <w:rFonts w:ascii="宋体" w:hAnsi="宋体" w:cs="宋体" w:hint="eastAsia"/>
                <w:color w:val="000000"/>
                <w:kern w:val="0"/>
                <w:sz w:val="20"/>
                <w:szCs w:val="20"/>
                <w:lang/>
              </w:rPr>
              <w:t>靳松</w:t>
            </w:r>
          </w:p>
        </w:tc>
        <w:tc>
          <w:tcPr>
            <w:tcW w:w="1596"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Arial" w:hAnsi="Arial" w:cs="Arial"/>
                <w:color w:val="000000"/>
                <w:kern w:val="0"/>
                <w:sz w:val="20"/>
                <w:szCs w:val="20"/>
                <w:lang/>
              </w:rPr>
              <w:t>495</w:t>
            </w:r>
          </w:p>
        </w:tc>
        <w:tc>
          <w:tcPr>
            <w:tcW w:w="1885"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color w:val="000000"/>
                <w:sz w:val="24"/>
                <w:szCs w:val="24"/>
              </w:rPr>
            </w:pPr>
            <w:r>
              <w:rPr>
                <w:rFonts w:ascii="Arial" w:hAnsi="Arial" w:cs="Arial" w:hint="eastAsia"/>
                <w:color w:val="000000"/>
                <w:kern w:val="0"/>
                <w:sz w:val="20"/>
                <w:szCs w:val="20"/>
                <w:lang/>
              </w:rPr>
              <w:t>0.62</w:t>
            </w:r>
            <w:r>
              <w:rPr>
                <w:rFonts w:ascii="Arial" w:hAnsi="Arial" w:cs="Arial"/>
                <w:color w:val="000000"/>
                <w:kern w:val="0"/>
                <w:sz w:val="20"/>
                <w:szCs w:val="20"/>
                <w:lang/>
              </w:rPr>
              <w:t>%</w:t>
            </w:r>
          </w:p>
        </w:tc>
        <w:tc>
          <w:tcPr>
            <w:tcW w:w="1885" w:type="dxa"/>
            <w:tcBorders>
              <w:top w:val="single" w:sz="4" w:space="0" w:color="F9D4AF"/>
              <w:left w:val="single" w:sz="4" w:space="0" w:color="F9D4AF"/>
              <w:bottom w:val="single" w:sz="4" w:space="0" w:color="F9D4AF"/>
              <w:right w:val="single" w:sz="4" w:space="0" w:color="FFFFF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Arial" w:hAnsi="Arial" w:cs="Arial" w:hint="eastAsia"/>
                <w:color w:val="000000"/>
                <w:kern w:val="0"/>
                <w:sz w:val="20"/>
                <w:szCs w:val="20"/>
                <w:lang/>
              </w:rPr>
              <w:t>3.47</w:t>
            </w:r>
            <w:r>
              <w:rPr>
                <w:rFonts w:ascii="Arial" w:hAnsi="Arial" w:cs="Arial"/>
                <w:color w:val="000000"/>
                <w:kern w:val="0"/>
                <w:sz w:val="20"/>
                <w:szCs w:val="20"/>
                <w:lang/>
              </w:rPr>
              <w:t>0%</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EF2E7"/>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安徽商之都霍邱商厦有限责任公司</w:t>
            </w:r>
          </w:p>
        </w:tc>
        <w:tc>
          <w:tcPr>
            <w:tcW w:w="1596"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490</w:t>
            </w:r>
          </w:p>
        </w:tc>
        <w:tc>
          <w:tcPr>
            <w:tcW w:w="1885"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color w:val="000000"/>
                <w:sz w:val="24"/>
                <w:szCs w:val="24"/>
              </w:rPr>
            </w:pPr>
            <w:r>
              <w:rPr>
                <w:rFonts w:hint="eastAsia"/>
                <w:color w:val="000000"/>
                <w:sz w:val="24"/>
                <w:szCs w:val="24"/>
              </w:rPr>
              <w:t>0.62%</w:t>
            </w:r>
          </w:p>
        </w:tc>
        <w:tc>
          <w:tcPr>
            <w:tcW w:w="1885" w:type="dxa"/>
            <w:tcBorders>
              <w:top w:val="single" w:sz="4" w:space="0" w:color="F9D4AF"/>
              <w:left w:val="single" w:sz="4" w:space="0" w:color="F9D4AF"/>
              <w:bottom w:val="single" w:sz="4" w:space="0" w:color="F9D4AF"/>
              <w:right w:val="single" w:sz="4" w:space="0" w:color="FFFFF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3.43%</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FFFFF"/>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安徽冠淮食品有限公司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400</w:t>
            </w:r>
          </w:p>
        </w:tc>
        <w:tc>
          <w:tcPr>
            <w:tcW w:w="1885"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color w:val="000000"/>
                <w:sz w:val="24"/>
                <w:szCs w:val="24"/>
              </w:rPr>
            </w:pPr>
            <w:r>
              <w:rPr>
                <w:rFonts w:hint="eastAsia"/>
                <w:color w:val="000000"/>
                <w:sz w:val="24"/>
                <w:szCs w:val="24"/>
              </w:rPr>
              <w:t>0.5%</w:t>
            </w:r>
          </w:p>
        </w:tc>
        <w:tc>
          <w:tcPr>
            <w:tcW w:w="1885" w:type="dxa"/>
            <w:tcBorders>
              <w:top w:val="single" w:sz="4" w:space="0" w:color="F9D4AF"/>
              <w:left w:val="single" w:sz="4" w:space="0" w:color="F9D4AF"/>
              <w:bottom w:val="single" w:sz="4" w:space="0" w:color="F9D4AF"/>
              <w:right w:val="single" w:sz="4" w:space="0" w:color="FFFFF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2.8%</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EF2E7"/>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安徽永鑫餐饮管理有限公司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400</w:t>
            </w:r>
          </w:p>
        </w:tc>
        <w:tc>
          <w:tcPr>
            <w:tcW w:w="1885"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color w:val="000000"/>
                <w:sz w:val="24"/>
                <w:szCs w:val="24"/>
              </w:rPr>
            </w:pPr>
            <w:r>
              <w:rPr>
                <w:rFonts w:hint="eastAsia"/>
                <w:color w:val="000000"/>
                <w:sz w:val="24"/>
                <w:szCs w:val="24"/>
              </w:rPr>
              <w:t>0.5%</w:t>
            </w:r>
          </w:p>
        </w:tc>
        <w:tc>
          <w:tcPr>
            <w:tcW w:w="1885" w:type="dxa"/>
            <w:tcBorders>
              <w:top w:val="single" w:sz="4" w:space="0" w:color="F9D4AF"/>
              <w:left w:val="single" w:sz="4" w:space="0" w:color="F9D4AF"/>
              <w:bottom w:val="single" w:sz="4" w:space="0" w:color="F9D4AF"/>
              <w:right w:val="single" w:sz="4" w:space="0" w:color="FFFFF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2.8%</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FFFFF"/>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霍邱云辉建筑工程服务有限公司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400</w:t>
            </w:r>
          </w:p>
        </w:tc>
        <w:tc>
          <w:tcPr>
            <w:tcW w:w="1885"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color w:val="000000"/>
                <w:sz w:val="24"/>
                <w:szCs w:val="24"/>
              </w:rPr>
            </w:pPr>
            <w:r>
              <w:rPr>
                <w:rFonts w:hint="eastAsia"/>
                <w:color w:val="000000"/>
                <w:sz w:val="24"/>
                <w:szCs w:val="24"/>
              </w:rPr>
              <w:t>0.5%</w:t>
            </w:r>
          </w:p>
        </w:tc>
        <w:tc>
          <w:tcPr>
            <w:tcW w:w="1885" w:type="dxa"/>
            <w:tcBorders>
              <w:top w:val="single" w:sz="4" w:space="0" w:color="F9D4AF"/>
              <w:left w:val="single" w:sz="4" w:space="0" w:color="F9D4AF"/>
              <w:bottom w:val="single" w:sz="4" w:space="0" w:color="F9D4AF"/>
              <w:right w:val="single" w:sz="4" w:space="0" w:color="FFFFF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2.8%</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EF2E7"/>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安徽沃力奇纺织制品有限公司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350</w:t>
            </w:r>
          </w:p>
        </w:tc>
        <w:tc>
          <w:tcPr>
            <w:tcW w:w="1885"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color w:val="000000"/>
                <w:sz w:val="24"/>
                <w:szCs w:val="24"/>
              </w:rPr>
            </w:pPr>
            <w:r>
              <w:rPr>
                <w:rFonts w:hint="eastAsia"/>
                <w:color w:val="000000"/>
                <w:sz w:val="24"/>
                <w:szCs w:val="24"/>
              </w:rPr>
              <w:t>0.44%</w:t>
            </w:r>
          </w:p>
        </w:tc>
        <w:tc>
          <w:tcPr>
            <w:tcW w:w="1885" w:type="dxa"/>
            <w:tcBorders>
              <w:top w:val="single" w:sz="4" w:space="0" w:color="F9D4AF"/>
              <w:left w:val="single" w:sz="4" w:space="0" w:color="F9D4AF"/>
              <w:bottom w:val="single" w:sz="4" w:space="0" w:color="F9D4AF"/>
              <w:right w:val="single" w:sz="4" w:space="0" w:color="FFFFF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2.45%</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FFFFF"/>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霍邱县国华纳米科技有限公司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350</w:t>
            </w:r>
          </w:p>
        </w:tc>
        <w:tc>
          <w:tcPr>
            <w:tcW w:w="1885"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color w:val="000000"/>
                <w:sz w:val="24"/>
                <w:szCs w:val="24"/>
              </w:rPr>
            </w:pPr>
            <w:r>
              <w:rPr>
                <w:rFonts w:hint="eastAsia"/>
                <w:color w:val="000000"/>
                <w:sz w:val="24"/>
                <w:szCs w:val="24"/>
              </w:rPr>
              <w:t>0.44%</w:t>
            </w:r>
          </w:p>
        </w:tc>
        <w:tc>
          <w:tcPr>
            <w:tcW w:w="1885" w:type="dxa"/>
            <w:tcBorders>
              <w:top w:val="single" w:sz="4" w:space="0" w:color="F9D4AF"/>
              <w:left w:val="single" w:sz="4" w:space="0" w:color="F9D4AF"/>
              <w:bottom w:val="single" w:sz="4" w:space="0" w:color="F9D4AF"/>
              <w:right w:val="single" w:sz="4" w:space="0" w:color="FFFFF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2.45%</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EF2E7"/>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霍邱县亨兴工艺品有限公司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350</w:t>
            </w:r>
          </w:p>
        </w:tc>
        <w:tc>
          <w:tcPr>
            <w:tcW w:w="1885" w:type="dxa"/>
            <w:tcBorders>
              <w:top w:val="single" w:sz="4" w:space="0" w:color="F9D4AF"/>
              <w:left w:val="single" w:sz="4" w:space="0" w:color="F9D4AF"/>
              <w:bottom w:val="single" w:sz="4" w:space="0" w:color="F9D4AF"/>
              <w:right w:val="single" w:sz="4" w:space="0" w:color="F9D4AF"/>
            </w:tcBorders>
            <w:shd w:val="clear" w:color="auto" w:fill="FEF2E7"/>
            <w:vAlign w:val="center"/>
          </w:tcPr>
          <w:p w:rsidR="00447284" w:rsidRDefault="00447284">
            <w:pPr>
              <w:widowControl/>
              <w:jc w:val="right"/>
              <w:textAlignment w:val="center"/>
              <w:rPr>
                <w:color w:val="000000"/>
                <w:sz w:val="24"/>
                <w:szCs w:val="24"/>
              </w:rPr>
            </w:pPr>
            <w:r>
              <w:rPr>
                <w:rFonts w:hint="eastAsia"/>
                <w:color w:val="000000"/>
                <w:sz w:val="24"/>
                <w:szCs w:val="24"/>
              </w:rPr>
              <w:t>0.44%</w:t>
            </w:r>
          </w:p>
        </w:tc>
        <w:tc>
          <w:tcPr>
            <w:tcW w:w="1885" w:type="dxa"/>
            <w:tcBorders>
              <w:top w:val="single" w:sz="4" w:space="0" w:color="F9D4AF"/>
              <w:left w:val="single" w:sz="4" w:space="0" w:color="F9D4AF"/>
              <w:bottom w:val="single" w:sz="4" w:space="0" w:color="F9D4AF"/>
              <w:right w:val="single" w:sz="4" w:space="0" w:color="FFFFFF"/>
            </w:tcBorders>
            <w:shd w:val="clear" w:color="auto" w:fill="FEF2E7"/>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2.45%</w:t>
            </w:r>
          </w:p>
        </w:tc>
      </w:tr>
      <w:tr w:rsidR="00447284">
        <w:trPr>
          <w:cantSplit/>
          <w:trHeight w:val="307"/>
        </w:trPr>
        <w:tc>
          <w:tcPr>
            <w:tcW w:w="3882" w:type="dxa"/>
            <w:tcBorders>
              <w:top w:val="single" w:sz="4" w:space="0" w:color="F9D4AF"/>
              <w:left w:val="single" w:sz="4" w:space="0" w:color="FFFFFF"/>
              <w:bottom w:val="single" w:sz="4" w:space="0" w:color="F9D4AF"/>
              <w:right w:val="single" w:sz="4" w:space="0" w:color="F9D4AF"/>
            </w:tcBorders>
            <w:shd w:val="clear" w:color="auto" w:fill="FFFFFF"/>
            <w:vAlign w:val="center"/>
          </w:tcPr>
          <w:p w:rsidR="00447284" w:rsidRDefault="00447284">
            <w:pPr>
              <w:widowControl/>
              <w:jc w:val="left"/>
              <w:textAlignment w:val="center"/>
              <w:rPr>
                <w:rFonts w:ascii="宋体" w:hAnsi="宋体" w:cs="Tahoma"/>
                <w:color w:val="000000"/>
                <w:sz w:val="20"/>
                <w:szCs w:val="20"/>
              </w:rPr>
            </w:pPr>
            <w:r>
              <w:rPr>
                <w:rFonts w:ascii="宋体" w:hAnsi="宋体" w:cs="Tahoma" w:hint="eastAsia"/>
                <w:color w:val="000000"/>
                <w:sz w:val="20"/>
                <w:szCs w:val="20"/>
              </w:rPr>
              <w:t>霍邱县佳兴商砼有限公司</w:t>
            </w:r>
          </w:p>
        </w:tc>
        <w:tc>
          <w:tcPr>
            <w:tcW w:w="1596"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350</w:t>
            </w:r>
          </w:p>
        </w:tc>
        <w:tc>
          <w:tcPr>
            <w:tcW w:w="1885" w:type="dxa"/>
            <w:tcBorders>
              <w:top w:val="single" w:sz="4" w:space="0" w:color="F9D4AF"/>
              <w:left w:val="single" w:sz="4" w:space="0" w:color="F9D4AF"/>
              <w:bottom w:val="single" w:sz="4" w:space="0" w:color="F9D4AF"/>
              <w:right w:val="single" w:sz="4" w:space="0" w:color="F9D4AF"/>
            </w:tcBorders>
            <w:shd w:val="clear" w:color="auto" w:fill="FFFFFF"/>
            <w:vAlign w:val="center"/>
          </w:tcPr>
          <w:p w:rsidR="00447284" w:rsidRDefault="00447284">
            <w:pPr>
              <w:widowControl/>
              <w:jc w:val="right"/>
              <w:textAlignment w:val="center"/>
              <w:rPr>
                <w:color w:val="000000"/>
                <w:sz w:val="24"/>
                <w:szCs w:val="24"/>
              </w:rPr>
            </w:pPr>
            <w:r>
              <w:rPr>
                <w:rFonts w:hint="eastAsia"/>
                <w:color w:val="000000"/>
                <w:sz w:val="24"/>
                <w:szCs w:val="24"/>
              </w:rPr>
              <w:t>0.44%</w:t>
            </w:r>
          </w:p>
        </w:tc>
        <w:tc>
          <w:tcPr>
            <w:tcW w:w="1885" w:type="dxa"/>
            <w:tcBorders>
              <w:top w:val="single" w:sz="4" w:space="0" w:color="F9D4AF"/>
              <w:left w:val="single" w:sz="4" w:space="0" w:color="F9D4AF"/>
              <w:bottom w:val="single" w:sz="4" w:space="0" w:color="F9D4AF"/>
              <w:right w:val="single" w:sz="4" w:space="0" w:color="FFFFFF"/>
            </w:tcBorders>
            <w:shd w:val="clear" w:color="auto" w:fill="FFFFFF"/>
            <w:vAlign w:val="center"/>
          </w:tcPr>
          <w:p w:rsidR="00447284" w:rsidRDefault="00447284">
            <w:pPr>
              <w:widowControl/>
              <w:jc w:val="right"/>
              <w:textAlignment w:val="center"/>
              <w:rPr>
                <w:rFonts w:ascii="宋体" w:hAnsi="宋体" w:cs="Tahoma"/>
                <w:color w:val="000000"/>
                <w:sz w:val="20"/>
                <w:szCs w:val="20"/>
              </w:rPr>
            </w:pPr>
            <w:r>
              <w:rPr>
                <w:rFonts w:ascii="宋体" w:hAnsi="宋体" w:cs="Tahoma" w:hint="eastAsia"/>
                <w:color w:val="000000"/>
                <w:sz w:val="20"/>
                <w:szCs w:val="20"/>
              </w:rPr>
              <w:t>2.45%</w:t>
            </w:r>
          </w:p>
        </w:tc>
      </w:tr>
      <w:tr w:rsidR="00447284">
        <w:trPr>
          <w:cantSplit/>
          <w:trHeight w:val="301"/>
        </w:trPr>
        <w:tc>
          <w:tcPr>
            <w:tcW w:w="3882" w:type="dxa"/>
            <w:tcBorders>
              <w:top w:val="single" w:sz="4" w:space="0" w:color="F9D4AF"/>
              <w:left w:val="single" w:sz="4" w:space="0" w:color="FFFFFF"/>
              <w:bottom w:val="single" w:sz="4" w:space="0" w:color="ED7F13"/>
              <w:right w:val="single" w:sz="4" w:space="0" w:color="F9D4AF"/>
            </w:tcBorders>
            <w:shd w:val="clear" w:color="auto" w:fill="F9D4AF"/>
            <w:vAlign w:val="bottom"/>
          </w:tcPr>
          <w:p w:rsidR="00447284" w:rsidRDefault="00447284">
            <w:pPr>
              <w:jc w:val="center"/>
              <w:rPr>
                <w:rFonts w:ascii="仿宋_GB2312" w:eastAsia="仿宋_GB2312" w:hAnsi="Tahoma" w:cs="Tahoma"/>
                <w:color w:val="000000"/>
                <w:sz w:val="24"/>
                <w:szCs w:val="24"/>
              </w:rPr>
            </w:pPr>
            <w:r>
              <w:rPr>
                <w:rFonts w:ascii="仿宋_GB2312" w:eastAsia="仿宋_GB2312" w:hAnsi="Tahoma" w:cs="Tahoma" w:hint="eastAsia"/>
                <w:color w:val="000000"/>
              </w:rPr>
              <w:t>合  计</w:t>
            </w:r>
          </w:p>
        </w:tc>
        <w:tc>
          <w:tcPr>
            <w:tcW w:w="1596" w:type="dxa"/>
            <w:tcBorders>
              <w:top w:val="single" w:sz="4" w:space="0" w:color="F9D4AF"/>
              <w:left w:val="single" w:sz="4" w:space="0" w:color="F9D4AF"/>
              <w:bottom w:val="single" w:sz="4" w:space="0" w:color="ED7F13"/>
              <w:right w:val="single" w:sz="4" w:space="0" w:color="F9D4AF"/>
            </w:tcBorders>
            <w:shd w:val="clear" w:color="auto" w:fill="F9D4AF"/>
            <w:vAlign w:val="bottom"/>
          </w:tcPr>
          <w:p w:rsidR="00447284" w:rsidRDefault="00447284">
            <w:pPr>
              <w:jc w:val="center"/>
              <w:rPr>
                <w:rFonts w:ascii="宋体" w:hAnsi="宋体" w:cs="Tahoma"/>
                <w:color w:val="000000"/>
                <w:sz w:val="24"/>
                <w:szCs w:val="24"/>
              </w:rPr>
            </w:pPr>
            <w:r>
              <w:rPr>
                <w:rFonts w:cs="Tahoma" w:hint="eastAsia"/>
                <w:color w:val="000000"/>
              </w:rPr>
              <w:t>4083</w:t>
            </w:r>
          </w:p>
        </w:tc>
        <w:tc>
          <w:tcPr>
            <w:tcW w:w="1885" w:type="dxa"/>
            <w:tcBorders>
              <w:top w:val="single" w:sz="4" w:space="0" w:color="F9D4AF"/>
              <w:left w:val="single" w:sz="4" w:space="0" w:color="F9D4AF"/>
              <w:bottom w:val="single" w:sz="4" w:space="0" w:color="ED7F13"/>
              <w:right w:val="single" w:sz="4" w:space="0" w:color="F9D4AF"/>
            </w:tcBorders>
            <w:shd w:val="clear" w:color="auto" w:fill="F9D4AF"/>
            <w:vAlign w:val="bottom"/>
          </w:tcPr>
          <w:p w:rsidR="00447284" w:rsidRDefault="00447284">
            <w:pPr>
              <w:jc w:val="center"/>
              <w:rPr>
                <w:color w:val="000000"/>
                <w:sz w:val="24"/>
                <w:szCs w:val="24"/>
              </w:rPr>
            </w:pPr>
            <w:r>
              <w:rPr>
                <w:rFonts w:hint="eastAsia"/>
                <w:color w:val="000000"/>
              </w:rPr>
              <w:t>5.14%</w:t>
            </w:r>
          </w:p>
        </w:tc>
        <w:tc>
          <w:tcPr>
            <w:tcW w:w="1885" w:type="dxa"/>
            <w:tcBorders>
              <w:top w:val="single" w:sz="4" w:space="0" w:color="F9D4AF"/>
              <w:left w:val="single" w:sz="4" w:space="0" w:color="F9D4AF"/>
              <w:bottom w:val="single" w:sz="4" w:space="0" w:color="ED7F13"/>
              <w:right w:val="single" w:sz="4" w:space="0" w:color="FFFFFF"/>
            </w:tcBorders>
            <w:shd w:val="clear" w:color="auto" w:fill="F9D4AF"/>
            <w:vAlign w:val="bottom"/>
          </w:tcPr>
          <w:p w:rsidR="00447284" w:rsidRDefault="00447284">
            <w:pPr>
              <w:jc w:val="center"/>
              <w:rPr>
                <w:rFonts w:ascii="宋体" w:hAnsi="宋体" w:cs="Tahoma"/>
                <w:color w:val="000000"/>
                <w:sz w:val="20"/>
                <w:szCs w:val="20"/>
              </w:rPr>
            </w:pPr>
            <w:r>
              <w:rPr>
                <w:rFonts w:cs="Tahoma" w:hint="eastAsia"/>
                <w:color w:val="000000"/>
                <w:sz w:val="20"/>
                <w:szCs w:val="20"/>
              </w:rPr>
              <w:t>28.6%</w:t>
            </w:r>
          </w:p>
        </w:tc>
      </w:tr>
    </w:tbl>
    <w:p w:rsidR="00447284" w:rsidRDefault="00447284"/>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（五）资本与精细化管理情况</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1、本公司建立了董事会决策，高级管理层实施、监事会监督评价的分层资本管理体系，各管理层均能有效履行职责，促进资本管理体系的良好运作。高级管理层以风险资产计量和经济资本考核精细化为指导，不断优化信贷结构，加大小微企业信贷投放力度，增加低资本业务的占比，有效提高了资本管理水平。</w:t>
      </w: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报告期末，本公司资本充足率为18.62%。</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lastRenderedPageBreak/>
        <w:t>2、服务综合化理念逐步建成，本公司各部门协调合作，针对同一客户的不同业务需求给予建议和帮助，增强了客户粘度。在加大各条线的检查和审计力度的同时，建立全面风险管理体系，全行合规经营意思和能力得到不断的提升。</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3、严格执行银保监会“七不准”和“四公开”要求、</w:t>
      </w:r>
      <w:r>
        <w:rPr>
          <w:rFonts w:ascii="仿宋_GB2312" w:eastAsia="仿宋_GB2312" w:hint="eastAsia"/>
          <w:color w:val="000000"/>
          <w:sz w:val="30"/>
          <w:szCs w:val="30"/>
        </w:rPr>
        <w:t>进一步优化前、中、后台相分离、业务流程清晰的风险管理运行机制、完善风险问责机制，提升风险防控的实效。</w:t>
      </w:r>
      <w:r>
        <w:rPr>
          <w:rFonts w:ascii="仿宋_GB2312" w:eastAsia="仿宋_GB2312" w:hint="eastAsia"/>
          <w:bCs/>
          <w:sz w:val="30"/>
          <w:szCs w:val="30"/>
        </w:rPr>
        <w:t>严格执行 “贷款三查”和全流程管理，</w:t>
      </w:r>
      <w:r>
        <w:rPr>
          <w:rFonts w:ascii="仿宋_GB2312" w:eastAsia="仿宋_GB2312" w:hAnsi="宋体" w:hint="eastAsia"/>
          <w:sz w:val="30"/>
          <w:szCs w:val="30"/>
        </w:rPr>
        <w:t>从客户准入、审查审批到贷款的发放，都严格按照监管部门要求和制度执行。</w:t>
      </w:r>
      <w:r>
        <w:rPr>
          <w:rFonts w:ascii="仿宋_GB2312" w:eastAsia="仿宋_GB2312" w:hint="eastAsia"/>
          <w:color w:val="000000"/>
          <w:sz w:val="30"/>
          <w:szCs w:val="30"/>
        </w:rPr>
        <w:t>本公司</w:t>
      </w:r>
      <w:r>
        <w:rPr>
          <w:rFonts w:ascii="仿宋_GB2312" w:eastAsia="仿宋_GB2312" w:hint="eastAsia"/>
          <w:sz w:val="30"/>
          <w:szCs w:val="30"/>
        </w:rPr>
        <w:t>规定信贷条线的检查每月进行一次，主要围绕信贷档案、权限内信贷业务及授信条件制度落实情况的排查，把好信贷准入关。在运营条线，对日常业务差错按月通报并实施处罚，并通过现场与非现场重点抽查的方式，确保会计业务全年安全无事故。</w:t>
      </w: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（六）关联交易和重大关联交易情况</w:t>
      </w:r>
    </w:p>
    <w:p w:rsidR="00DE0942" w:rsidRPr="00DE0942" w:rsidRDefault="00447284" w:rsidP="00DE0942">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本公司的关联交易主要是对本公司与公司内部人、主要自然人股东及其近亲属、关联法人或其他组织的控股自然人股东、董事、关键管理人员之间发生的转移资源或义务的授信、资产转移及提供服务等事项。本年度报告期内</w:t>
      </w:r>
      <w:r w:rsidR="00DE0942">
        <w:rPr>
          <w:rFonts w:ascii="仿宋_GB2312" w:eastAsia="仿宋_GB2312" w:hint="eastAsia"/>
          <w:sz w:val="30"/>
          <w:szCs w:val="30"/>
        </w:rPr>
        <w:t>召开</w:t>
      </w:r>
      <w:r w:rsidR="00DE0942" w:rsidRPr="00DE0942">
        <w:rPr>
          <w:rFonts w:ascii="仿宋_GB2312" w:eastAsia="仿宋_GB2312" w:hint="eastAsia"/>
          <w:sz w:val="30"/>
          <w:szCs w:val="30"/>
        </w:rPr>
        <w:t>董事会风险管理及关联交易控制委员会</w:t>
      </w:r>
      <w:r w:rsidR="00DE0942">
        <w:rPr>
          <w:rFonts w:ascii="仿宋_GB2312" w:eastAsia="仿宋_GB2312" w:hint="eastAsia"/>
          <w:sz w:val="30"/>
          <w:szCs w:val="30"/>
        </w:rPr>
        <w:t>2次，审议后发放</w:t>
      </w:r>
      <w:r>
        <w:rPr>
          <w:rFonts w:ascii="仿宋_GB2312" w:eastAsia="仿宋_GB2312" w:hint="eastAsia"/>
          <w:sz w:val="30"/>
          <w:szCs w:val="30"/>
        </w:rPr>
        <w:t xml:space="preserve">关联交易授信2笔，关联交易授信金额528万元，分别是： </w:t>
      </w:r>
    </w:p>
    <w:p w:rsidR="00447284" w:rsidRDefault="00447284">
      <w:pPr>
        <w:spacing w:line="360" w:lineRule="auto"/>
        <w:ind w:firstLineChars="200" w:firstLine="600"/>
        <w:jc w:val="right"/>
        <w:rPr>
          <w:rFonts w:ascii="仿宋_GB2312" w:eastAsia="仿宋_GB2312" w:hint="eastAsia"/>
          <w:sz w:val="30"/>
          <w:szCs w:val="30"/>
        </w:rPr>
      </w:pPr>
      <w:r>
        <w:rPr>
          <w:rFonts w:ascii="仿宋_GB2312" w:eastAsia="仿宋_GB2312" w:hint="eastAsia"/>
          <w:sz w:val="30"/>
          <w:szCs w:val="30"/>
        </w:rPr>
        <w:t xml:space="preserve">                </w:t>
      </w:r>
      <w:r>
        <w:rPr>
          <w:rFonts w:eastAsia="仿宋_GB2312" w:hint="eastAsia"/>
          <w:sz w:val="24"/>
        </w:rPr>
        <w:t>单位：万元</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700"/>
        <w:gridCol w:w="2520"/>
      </w:tblGrid>
      <w:tr w:rsidR="00447284">
        <w:trPr>
          <w:cantSplit/>
          <w:trHeight w:val="293"/>
        </w:trPr>
        <w:tc>
          <w:tcPr>
            <w:tcW w:w="3060" w:type="dxa"/>
          </w:tcPr>
          <w:p w:rsidR="00447284" w:rsidRDefault="00447284">
            <w:pPr>
              <w:spacing w:line="515" w:lineRule="exact"/>
              <w:jc w:val="center"/>
              <w:rPr>
                <w:rFonts w:eastAsia="仿宋_GB2312"/>
                <w:sz w:val="24"/>
              </w:rPr>
            </w:pPr>
            <w:r>
              <w:rPr>
                <w:rFonts w:eastAsia="仿宋_GB2312" w:hint="eastAsia"/>
                <w:sz w:val="24"/>
              </w:rPr>
              <w:lastRenderedPageBreak/>
              <w:t>交易企业</w:t>
            </w:r>
          </w:p>
        </w:tc>
        <w:tc>
          <w:tcPr>
            <w:tcW w:w="2700" w:type="dxa"/>
          </w:tcPr>
          <w:p w:rsidR="00447284" w:rsidRDefault="00447284">
            <w:pPr>
              <w:spacing w:line="515" w:lineRule="exact"/>
              <w:jc w:val="center"/>
              <w:rPr>
                <w:rFonts w:eastAsia="仿宋_GB2312"/>
                <w:sz w:val="24"/>
              </w:rPr>
            </w:pPr>
            <w:r>
              <w:rPr>
                <w:rFonts w:eastAsia="仿宋_GB2312" w:hint="eastAsia"/>
                <w:sz w:val="24"/>
              </w:rPr>
              <w:t>关联企业、关联人</w:t>
            </w:r>
          </w:p>
        </w:tc>
        <w:tc>
          <w:tcPr>
            <w:tcW w:w="2520" w:type="dxa"/>
          </w:tcPr>
          <w:p w:rsidR="00447284" w:rsidRDefault="00447284">
            <w:pPr>
              <w:spacing w:line="515" w:lineRule="exact"/>
              <w:jc w:val="center"/>
              <w:rPr>
                <w:rFonts w:eastAsia="仿宋_GB2312"/>
                <w:sz w:val="24"/>
              </w:rPr>
            </w:pPr>
            <w:r>
              <w:rPr>
                <w:rFonts w:eastAsia="仿宋_GB2312" w:hint="eastAsia"/>
                <w:sz w:val="24"/>
              </w:rPr>
              <w:t>关联授信金额</w:t>
            </w:r>
          </w:p>
        </w:tc>
      </w:tr>
      <w:tr w:rsidR="00447284">
        <w:trPr>
          <w:cantSplit/>
          <w:trHeight w:val="293"/>
        </w:trPr>
        <w:tc>
          <w:tcPr>
            <w:tcW w:w="3060" w:type="dxa"/>
            <w:vAlign w:val="center"/>
          </w:tcPr>
          <w:p w:rsidR="00447284" w:rsidRPr="00DE0942" w:rsidRDefault="00447284">
            <w:pPr>
              <w:jc w:val="center"/>
              <w:rPr>
                <w:rFonts w:eastAsia="仿宋_GB2312"/>
              </w:rPr>
            </w:pPr>
            <w:r w:rsidRPr="00DE0942">
              <w:rPr>
                <w:rFonts w:eastAsia="仿宋_GB2312" w:hint="eastAsia"/>
              </w:rPr>
              <w:t>霍邱县亨兴工艺品有限公司</w:t>
            </w:r>
          </w:p>
        </w:tc>
        <w:tc>
          <w:tcPr>
            <w:tcW w:w="2700" w:type="dxa"/>
            <w:vAlign w:val="center"/>
          </w:tcPr>
          <w:p w:rsidR="00447284" w:rsidRDefault="00447284">
            <w:pPr>
              <w:spacing w:line="515" w:lineRule="exact"/>
              <w:jc w:val="center"/>
              <w:rPr>
                <w:rFonts w:ascii="仿宋_GB2312" w:eastAsia="仿宋_GB2312" w:hint="eastAsia"/>
                <w:sz w:val="24"/>
                <w:szCs w:val="24"/>
              </w:rPr>
            </w:pPr>
            <w:r>
              <w:rPr>
                <w:rFonts w:ascii="仿宋_GB2312" w:eastAsia="仿宋_GB2312" w:hint="eastAsia"/>
                <w:sz w:val="24"/>
                <w:szCs w:val="24"/>
              </w:rPr>
              <w:t>关联法人</w:t>
            </w:r>
          </w:p>
        </w:tc>
        <w:tc>
          <w:tcPr>
            <w:tcW w:w="2520" w:type="dxa"/>
            <w:vAlign w:val="center"/>
          </w:tcPr>
          <w:p w:rsidR="00447284" w:rsidRPr="00DE0942" w:rsidRDefault="00447284">
            <w:pPr>
              <w:jc w:val="center"/>
              <w:rPr>
                <w:rFonts w:ascii="仿宋_GB2312" w:eastAsia="仿宋_GB2312"/>
                <w:sz w:val="24"/>
                <w:szCs w:val="24"/>
              </w:rPr>
            </w:pPr>
            <w:r w:rsidRPr="00DE0942">
              <w:rPr>
                <w:rFonts w:ascii="仿宋_GB2312" w:eastAsia="仿宋_GB2312" w:hint="eastAsia"/>
                <w:sz w:val="24"/>
                <w:szCs w:val="24"/>
              </w:rPr>
              <w:t xml:space="preserve">350.00 </w:t>
            </w:r>
          </w:p>
        </w:tc>
      </w:tr>
      <w:tr w:rsidR="00447284">
        <w:trPr>
          <w:cantSplit/>
          <w:trHeight w:val="430"/>
        </w:trPr>
        <w:tc>
          <w:tcPr>
            <w:tcW w:w="3060" w:type="dxa"/>
            <w:vAlign w:val="center"/>
          </w:tcPr>
          <w:p w:rsidR="00447284" w:rsidRPr="00DE0942" w:rsidRDefault="00447284">
            <w:pPr>
              <w:jc w:val="center"/>
              <w:rPr>
                <w:rFonts w:eastAsia="仿宋_GB2312"/>
                <w:sz w:val="24"/>
              </w:rPr>
            </w:pPr>
            <w:r w:rsidRPr="00DE0942">
              <w:rPr>
                <w:rFonts w:eastAsia="仿宋_GB2312" w:hint="eastAsia"/>
                <w:sz w:val="24"/>
              </w:rPr>
              <w:t>李荣正</w:t>
            </w:r>
          </w:p>
        </w:tc>
        <w:tc>
          <w:tcPr>
            <w:tcW w:w="2700" w:type="dxa"/>
            <w:vAlign w:val="center"/>
          </w:tcPr>
          <w:p w:rsidR="00447284" w:rsidRDefault="00447284">
            <w:pPr>
              <w:spacing w:line="515" w:lineRule="exact"/>
              <w:jc w:val="center"/>
              <w:rPr>
                <w:rFonts w:ascii="仿宋_GB2312" w:eastAsia="仿宋_GB2312" w:hint="eastAsia"/>
                <w:sz w:val="24"/>
                <w:szCs w:val="24"/>
              </w:rPr>
            </w:pPr>
            <w:r>
              <w:rPr>
                <w:rFonts w:ascii="仿宋_GB2312" w:eastAsia="仿宋_GB2312" w:hint="eastAsia"/>
                <w:sz w:val="24"/>
                <w:szCs w:val="24"/>
              </w:rPr>
              <w:t>关联自然人</w:t>
            </w:r>
          </w:p>
        </w:tc>
        <w:tc>
          <w:tcPr>
            <w:tcW w:w="2520" w:type="dxa"/>
            <w:vAlign w:val="center"/>
          </w:tcPr>
          <w:p w:rsidR="00447284" w:rsidRPr="00DE0942" w:rsidRDefault="00447284">
            <w:pPr>
              <w:jc w:val="center"/>
              <w:rPr>
                <w:rFonts w:ascii="仿宋_GB2312" w:eastAsia="仿宋_GB2312"/>
                <w:sz w:val="24"/>
                <w:szCs w:val="24"/>
              </w:rPr>
            </w:pPr>
            <w:r w:rsidRPr="00DE0942">
              <w:rPr>
                <w:rFonts w:ascii="仿宋_GB2312" w:eastAsia="仿宋_GB2312" w:hint="eastAsia"/>
                <w:sz w:val="24"/>
                <w:szCs w:val="24"/>
              </w:rPr>
              <w:t>178</w:t>
            </w:r>
          </w:p>
        </w:tc>
      </w:tr>
      <w:tr w:rsidR="00447284">
        <w:trPr>
          <w:cantSplit/>
          <w:trHeight w:val="359"/>
        </w:trPr>
        <w:tc>
          <w:tcPr>
            <w:tcW w:w="3060" w:type="dxa"/>
          </w:tcPr>
          <w:p w:rsidR="00447284" w:rsidRDefault="00447284">
            <w:pPr>
              <w:spacing w:line="515" w:lineRule="exact"/>
              <w:jc w:val="center"/>
              <w:rPr>
                <w:rFonts w:eastAsia="仿宋_GB2312" w:hint="eastAsia"/>
                <w:sz w:val="24"/>
              </w:rPr>
            </w:pPr>
            <w:r>
              <w:rPr>
                <w:rFonts w:eastAsia="仿宋_GB2312" w:hint="eastAsia"/>
                <w:sz w:val="24"/>
              </w:rPr>
              <w:t>合</w:t>
            </w:r>
            <w:r>
              <w:rPr>
                <w:rFonts w:eastAsia="仿宋_GB2312"/>
                <w:sz w:val="24"/>
              </w:rPr>
              <w:t xml:space="preserve">  </w:t>
            </w:r>
            <w:r>
              <w:rPr>
                <w:rFonts w:eastAsia="仿宋_GB2312" w:hint="eastAsia"/>
                <w:sz w:val="24"/>
              </w:rPr>
              <w:t>计</w:t>
            </w:r>
          </w:p>
        </w:tc>
        <w:tc>
          <w:tcPr>
            <w:tcW w:w="2700" w:type="dxa"/>
          </w:tcPr>
          <w:p w:rsidR="00447284" w:rsidRDefault="00447284">
            <w:pPr>
              <w:spacing w:line="515" w:lineRule="exact"/>
              <w:jc w:val="center"/>
              <w:rPr>
                <w:rFonts w:eastAsia="仿宋_GB2312" w:hint="eastAsia"/>
                <w:sz w:val="24"/>
              </w:rPr>
            </w:pPr>
          </w:p>
        </w:tc>
        <w:tc>
          <w:tcPr>
            <w:tcW w:w="2520" w:type="dxa"/>
          </w:tcPr>
          <w:p w:rsidR="00447284" w:rsidRPr="00DE0942" w:rsidRDefault="00447284">
            <w:pPr>
              <w:spacing w:line="515" w:lineRule="exact"/>
              <w:jc w:val="center"/>
              <w:rPr>
                <w:rFonts w:ascii="仿宋_GB2312" w:eastAsia="仿宋_GB2312"/>
                <w:sz w:val="24"/>
                <w:szCs w:val="24"/>
              </w:rPr>
            </w:pPr>
            <w:r w:rsidRPr="00DE0942">
              <w:rPr>
                <w:rFonts w:ascii="仿宋_GB2312" w:eastAsia="仿宋_GB2312" w:hint="eastAsia"/>
                <w:sz w:val="24"/>
                <w:szCs w:val="24"/>
              </w:rPr>
              <w:t>528</w:t>
            </w:r>
          </w:p>
        </w:tc>
      </w:tr>
    </w:tbl>
    <w:p w:rsidR="00447284" w:rsidRDefault="00447284">
      <w:pPr>
        <w:spacing w:line="360" w:lineRule="auto"/>
        <w:ind w:firstLineChars="200" w:firstLine="600"/>
        <w:rPr>
          <w:rFonts w:ascii="仿宋_GB2312" w:eastAsia="仿宋_GB2312" w:hint="eastAsia"/>
          <w:sz w:val="30"/>
          <w:szCs w:val="30"/>
        </w:rPr>
      </w:pPr>
    </w:p>
    <w:p w:rsidR="00447284" w:rsidRDefault="00447284">
      <w:pPr>
        <w:spacing w:line="360" w:lineRule="auto"/>
        <w:jc w:val="center"/>
        <w:rPr>
          <w:rFonts w:ascii="黑体" w:eastAsia="黑体" w:hint="eastAsia"/>
          <w:b/>
          <w:sz w:val="30"/>
          <w:szCs w:val="30"/>
        </w:rPr>
      </w:pPr>
      <w:r>
        <w:rPr>
          <w:rFonts w:ascii="黑体" w:eastAsia="黑体" w:hint="eastAsia"/>
          <w:b/>
          <w:sz w:val="30"/>
          <w:szCs w:val="30"/>
        </w:rPr>
        <w:t>第七节   各类风险和风险管理策略</w:t>
      </w:r>
    </w:p>
    <w:p w:rsidR="00447284" w:rsidRDefault="00447284">
      <w:pPr>
        <w:spacing w:line="360" w:lineRule="auto"/>
        <w:ind w:firstLineChars="200" w:firstLine="600"/>
        <w:rPr>
          <w:rFonts w:ascii="仿宋_GB2312" w:eastAsia="仿宋_GB2312"/>
          <w:sz w:val="30"/>
          <w:szCs w:val="30"/>
        </w:rPr>
      </w:pPr>
      <w:r>
        <w:rPr>
          <w:rFonts w:ascii="仿宋_GB2312" w:eastAsia="仿宋_GB2312" w:hint="eastAsia"/>
          <w:sz w:val="30"/>
          <w:szCs w:val="30"/>
        </w:rPr>
        <w:t>本公司在经营过程中可能面临重大信贷风险、流动性风险、案件风险、声誉风险等重大经营风险。</w:t>
      </w:r>
    </w:p>
    <w:p w:rsidR="00447284" w:rsidRDefault="00447284">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重大信贷风险处置：信贷风险是本公司当前信贷管理面临的主要风险，本公司在风险处置过程中遵循“依法合规、分类处置、审慎操作”的原则，遵照相关法律法规、相关制度严格控制风险的扩散和蔓延。不断风险管理机制，实施标准化的信贷管理流程，进一步规范信贷业务的申请、调查和审批工作。建立风险预警机制，及时防范和化解信贷风险。完善信贷退出机制。报告期内，本公司不良贷款占比为0%。</w:t>
      </w:r>
      <w:r>
        <w:rPr>
          <w:rFonts w:ascii="仿宋_GB2312" w:eastAsia="仿宋_GB2312"/>
          <w:sz w:val="30"/>
          <w:szCs w:val="30"/>
        </w:rPr>
        <w:t xml:space="preserve"> </w:t>
      </w:r>
    </w:p>
    <w:p w:rsidR="00447284" w:rsidRDefault="00447284">
      <w:pPr>
        <w:spacing w:line="360" w:lineRule="auto"/>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流动性风险处置：2022年本公司坚持对流动性风险指标实时监测和分析，确保资金头寸无支付风险。各项流动性指标控制良好，截至报告期末，本公司资产流动性比例为44.1%，下一步本公司将继续做好存款流动性管理，使流动性风险管理水平稳步提高。</w:t>
      </w:r>
    </w:p>
    <w:p w:rsidR="00447284" w:rsidRDefault="00447284">
      <w:pPr>
        <w:spacing w:line="360"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、案件风险处置：本公司案件风险的处置实行专案负责制，</w:t>
      </w:r>
      <w:r>
        <w:rPr>
          <w:rFonts w:ascii="仿宋_GB2312" w:eastAsia="仿宋_GB2312" w:hint="eastAsia"/>
          <w:sz w:val="30"/>
          <w:szCs w:val="30"/>
        </w:rPr>
        <w:lastRenderedPageBreak/>
        <w:t>案件得到初步确认后，由高级管理层、服务和监督领导小组牵头，针对具体案件迅速成立专案组，及时落实报告、调查、问责、整改等处置工作。清查案件相关账目，及时采取风险化解措施保全资产，降低损失控制形势。密切关注案件风险向声誉风险、流动性风险传导的可能性和态势。完善内部控制机制和制度，提高案防工作执行力度，提出整改措施并逐步落实。</w:t>
      </w:r>
    </w:p>
    <w:p w:rsidR="00447284" w:rsidRDefault="00447284">
      <w:pPr>
        <w:spacing w:line="360" w:lineRule="auto"/>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声誉风险处置：声誉风险可能产生于经营管理的任何环节，在业务办理、产品销售过程中引发的误解或冲突，内部组织架构的变动或外部事件造成损失的风险。报告期内，本公司主动做好舆情应对，实时监查外部媒体舆论传播情况，统一发布渠道，做好资金头寸的调拨和现金的配置。在库存现金、安全保卫等方面做好应急准备。认真分析问题，及时采取补救措施。防止负面舆情扩大化，并通过有效形式争取舆论的理解和支持。对于恶意中伤，歪曲事实的报道，进行明确的澄清。同时，对重要岗位工作人员在八小时内外行为进行规范，从根源上解决问题。</w:t>
      </w:r>
      <w:r>
        <w:rPr>
          <w:rFonts w:ascii="仿宋_GB2312" w:eastAsia="仿宋_GB2312"/>
          <w:sz w:val="30"/>
          <w:szCs w:val="30"/>
        </w:rPr>
        <w:t xml:space="preserve"> </w:t>
      </w:r>
    </w:p>
    <w:p w:rsidR="00447284" w:rsidRDefault="00447284">
      <w:pPr>
        <w:spacing w:line="360" w:lineRule="auto"/>
        <w:ind w:firstLineChars="200" w:firstLine="560"/>
        <w:rPr>
          <w:rFonts w:ascii="仿宋_GB2312" w:eastAsia="仿宋_GB2312" w:hint="eastAsia"/>
          <w:sz w:val="28"/>
          <w:szCs w:val="28"/>
        </w:rPr>
      </w:pPr>
    </w:p>
    <w:p w:rsidR="00447284" w:rsidRDefault="00447284">
      <w:pPr>
        <w:spacing w:line="360" w:lineRule="auto"/>
        <w:jc w:val="center"/>
        <w:rPr>
          <w:rFonts w:ascii="黑体" w:eastAsia="黑体"/>
          <w:b/>
          <w:sz w:val="30"/>
          <w:szCs w:val="30"/>
        </w:rPr>
      </w:pPr>
      <w:r>
        <w:rPr>
          <w:rFonts w:ascii="黑体" w:eastAsia="黑体"/>
          <w:b/>
          <w:sz w:val="30"/>
          <w:szCs w:val="30"/>
        </w:rPr>
        <w:t>第</w:t>
      </w:r>
      <w:r>
        <w:rPr>
          <w:rFonts w:ascii="黑体" w:eastAsia="黑体" w:hint="eastAsia"/>
          <w:b/>
          <w:sz w:val="30"/>
          <w:szCs w:val="30"/>
        </w:rPr>
        <w:t>八</w:t>
      </w:r>
      <w:r>
        <w:rPr>
          <w:rFonts w:ascii="黑体" w:eastAsia="黑体"/>
          <w:b/>
          <w:sz w:val="30"/>
          <w:szCs w:val="30"/>
        </w:rPr>
        <w:t>节   重要事项</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一、报告期内，无重大诉讼、仲裁事项。</w:t>
      </w:r>
    </w:p>
    <w:p w:rsidR="00447284" w:rsidRDefault="00447284">
      <w:pPr>
        <w:pStyle w:val="a3"/>
        <w:spacing w:line="360" w:lineRule="auto"/>
        <w:ind w:firstLineChars="200" w:firstLine="600"/>
        <w:rPr>
          <w:rFonts w:ascii="仿宋_GB2312" w:eastAsia="仿宋_GB2312" w:hAnsi="Times New Roman" w:cs="Times New Roman"/>
          <w:sz w:val="30"/>
          <w:szCs w:val="30"/>
        </w:rPr>
      </w:pPr>
      <w:r>
        <w:rPr>
          <w:rFonts w:ascii="仿宋_GB2312" w:eastAsia="仿宋_GB2312" w:hAnsi="Times New Roman" w:cs="Times New Roman"/>
          <w:sz w:val="30"/>
          <w:szCs w:val="30"/>
        </w:rPr>
        <w:t>二、报告期内，未发生重大案件、重大差错等情况。</w:t>
      </w:r>
    </w:p>
    <w:p w:rsidR="00447284" w:rsidRDefault="00447284">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三、本公司一直坚持诚信、公允的商业原则，在处理关联交易业务时，严格按照有关法律、法规以及本行的贷款程序和规定，</w:t>
      </w:r>
      <w:r>
        <w:rPr>
          <w:rFonts w:ascii="仿宋_GB2312" w:eastAsia="仿宋_GB2312" w:hint="eastAsia"/>
          <w:sz w:val="30"/>
          <w:szCs w:val="30"/>
        </w:rPr>
        <w:lastRenderedPageBreak/>
        <w:t>以及本公司贷款程序和审核条件发放。现有关联交易不会对本公司正常经营活动产生实质影响。</w:t>
      </w:r>
    </w:p>
    <w:p w:rsidR="00447284" w:rsidRDefault="00447284">
      <w:pPr>
        <w:autoSpaceDE w:val="0"/>
        <w:autoSpaceDN w:val="0"/>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四、报告期内，本公司各项业务合同履行情况正常，无重大合同纠纷发生。</w:t>
      </w:r>
      <w:r>
        <w:rPr>
          <w:rFonts w:ascii="仿宋_GB2312" w:eastAsia="仿宋_GB2312"/>
          <w:sz w:val="30"/>
          <w:szCs w:val="30"/>
        </w:rPr>
        <w:t xml:space="preserve"> </w:t>
      </w:r>
    </w:p>
    <w:p w:rsidR="00447284" w:rsidRDefault="00447284">
      <w:pPr>
        <w:autoSpaceDE w:val="0"/>
        <w:autoSpaceDN w:val="0"/>
        <w:adjustRightInd w:val="0"/>
        <w:spacing w:line="360" w:lineRule="auto"/>
        <w:ind w:firstLineChars="200" w:firstLine="600"/>
        <w:rPr>
          <w:rFonts w:ascii="仿宋_GB2312" w:eastAsia="仿宋_GB2312"/>
          <w:sz w:val="30"/>
          <w:szCs w:val="30"/>
        </w:rPr>
      </w:pPr>
      <w:r>
        <w:rPr>
          <w:rFonts w:ascii="仿宋_GB2312" w:eastAsia="仿宋_GB2312" w:hint="eastAsia"/>
          <w:sz w:val="30"/>
          <w:szCs w:val="30"/>
        </w:rPr>
        <w:t>五、报告期内，除正常银行经营范围内的担保业务外，本公司无其他需要披露的重大担保事项。</w:t>
      </w:r>
    </w:p>
    <w:p w:rsidR="00447284" w:rsidRDefault="00447284">
      <w:pPr>
        <w:spacing w:line="360" w:lineRule="auto"/>
        <w:ind w:firstLine="556"/>
        <w:rPr>
          <w:rFonts w:ascii="仿宋_GB2312" w:eastAsia="仿宋_GB2312" w:hint="eastAsia"/>
          <w:sz w:val="30"/>
          <w:szCs w:val="30"/>
        </w:rPr>
      </w:pPr>
      <w:r>
        <w:rPr>
          <w:rFonts w:ascii="仿宋_GB2312" w:eastAsia="仿宋_GB2312" w:hint="eastAsia"/>
          <w:sz w:val="30"/>
          <w:szCs w:val="30"/>
        </w:rPr>
        <w:t>六、报告期内，除上述信息外，本公司无其他重大事项。</w:t>
      </w:r>
      <w:r>
        <w:rPr>
          <w:rFonts w:ascii="仿宋_GB2312" w:eastAsia="仿宋_GB2312"/>
          <w:sz w:val="30"/>
          <w:szCs w:val="30"/>
        </w:rPr>
        <w:t xml:space="preserve"> </w:t>
      </w:r>
    </w:p>
    <w:p w:rsidR="00447284" w:rsidRDefault="00447284">
      <w:pPr>
        <w:spacing w:line="360" w:lineRule="auto"/>
        <w:ind w:firstLine="556"/>
        <w:rPr>
          <w:rFonts w:ascii="仿宋_GB2312" w:eastAsia="仿宋_GB2312" w:hint="eastAsia"/>
          <w:sz w:val="30"/>
          <w:szCs w:val="30"/>
        </w:rPr>
      </w:pPr>
    </w:p>
    <w:p w:rsidR="00447284" w:rsidRDefault="00447284">
      <w:pPr>
        <w:spacing w:line="360" w:lineRule="auto"/>
        <w:ind w:firstLine="556"/>
        <w:rPr>
          <w:rFonts w:ascii="仿宋_GB2312" w:eastAsia="仿宋_GB2312" w:hint="eastAsia"/>
          <w:sz w:val="30"/>
          <w:szCs w:val="30"/>
        </w:rPr>
      </w:pPr>
    </w:p>
    <w:p w:rsidR="00447284" w:rsidRDefault="00447284">
      <w:pPr>
        <w:spacing w:line="360" w:lineRule="auto"/>
        <w:ind w:firstLine="556"/>
        <w:jc w:val="right"/>
        <w:rPr>
          <w:rFonts w:ascii="仿宋_GB2312" w:eastAsia="仿宋_GB2312" w:hint="eastAsia"/>
          <w:sz w:val="30"/>
          <w:szCs w:val="30"/>
        </w:rPr>
      </w:pPr>
      <w:r>
        <w:rPr>
          <w:rFonts w:ascii="仿宋_GB2312" w:eastAsia="仿宋_GB2312" w:hint="eastAsia"/>
          <w:sz w:val="30"/>
          <w:szCs w:val="30"/>
        </w:rPr>
        <w:t>安徽霍邱联合村镇银行股份有限公司</w:t>
      </w:r>
    </w:p>
    <w:p w:rsidR="00447284" w:rsidRDefault="00447284">
      <w:pPr>
        <w:spacing w:line="360" w:lineRule="auto"/>
        <w:ind w:firstLine="556"/>
        <w:jc w:val="right"/>
        <w:rPr>
          <w:rFonts w:ascii="仿宋_GB2312" w:eastAsia="仿宋_GB2312" w:hAnsi="华文中宋" w:hint="eastAsia"/>
          <w:b/>
          <w:kern w:val="0"/>
          <w:sz w:val="30"/>
          <w:szCs w:val="30"/>
        </w:rPr>
      </w:pPr>
      <w:r>
        <w:rPr>
          <w:rFonts w:ascii="仿宋_GB2312" w:eastAsia="仿宋_GB2312" w:hint="eastAsia"/>
          <w:sz w:val="30"/>
          <w:szCs w:val="30"/>
        </w:rPr>
        <w:t xml:space="preserve">                          二○二三年</w:t>
      </w:r>
      <w:r w:rsidR="00AA1C63">
        <w:rPr>
          <w:rFonts w:ascii="仿宋_GB2312" w:eastAsia="仿宋_GB2312" w:hint="eastAsia"/>
          <w:sz w:val="30"/>
          <w:szCs w:val="30"/>
        </w:rPr>
        <w:t>二</w:t>
      </w:r>
      <w:r>
        <w:rPr>
          <w:rFonts w:ascii="仿宋_GB2312" w:eastAsia="仿宋_GB2312" w:hint="eastAsia"/>
          <w:sz w:val="30"/>
          <w:szCs w:val="30"/>
        </w:rPr>
        <w:t>月</w:t>
      </w:r>
      <w:r w:rsidR="00AA1C63">
        <w:rPr>
          <w:rFonts w:ascii="仿宋_GB2312" w:eastAsia="仿宋_GB2312" w:hint="eastAsia"/>
          <w:sz w:val="30"/>
          <w:szCs w:val="30"/>
        </w:rPr>
        <w:t>二十八</w:t>
      </w:r>
      <w:r>
        <w:rPr>
          <w:rFonts w:ascii="仿宋_GB2312" w:eastAsia="仿宋_GB2312" w:hint="eastAsia"/>
          <w:sz w:val="30"/>
          <w:szCs w:val="30"/>
        </w:rPr>
        <w:t>日</w:t>
      </w:r>
    </w:p>
    <w:sectPr w:rsidR="00447284">
      <w:headerReference w:type="default" r:id="rId7"/>
      <w:footerReference w:type="default" r:id="rId8"/>
      <w:pgSz w:w="11906" w:h="16838"/>
      <w:pgMar w:top="1814" w:right="1701" w:bottom="181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B0B" w:rsidRDefault="000C4B0B">
      <w:r>
        <w:separator/>
      </w:r>
    </w:p>
  </w:endnote>
  <w:endnote w:type="continuationSeparator" w:id="1">
    <w:p w:rsidR="000C4B0B" w:rsidRDefault="000C4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4" w:rsidRDefault="00447284">
    <w:pPr>
      <w:pStyle w:val="a6"/>
      <w:jc w:val="center"/>
    </w:pPr>
    <w:fldSimple w:instr=" PAGE   \* MERGEFORMAT ">
      <w:r w:rsidR="008C4937" w:rsidRPr="008C4937">
        <w:rPr>
          <w:noProof/>
          <w:lang w:val="en-US" w:eastAsia="zh-CN"/>
        </w:rPr>
        <w:t>15</w:t>
      </w:r>
    </w:fldSimple>
  </w:p>
  <w:p w:rsidR="00447284" w:rsidRDefault="0044728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B0B" w:rsidRDefault="000C4B0B">
      <w:r>
        <w:separator/>
      </w:r>
    </w:p>
  </w:footnote>
  <w:footnote w:type="continuationSeparator" w:id="1">
    <w:p w:rsidR="000C4B0B" w:rsidRDefault="000C4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4" w:rsidRDefault="00447284">
    <w:pPr>
      <w:pStyle w:val="a7"/>
      <w:jc w:val="both"/>
    </w:pPr>
    <w:r>
      <w:t xml:space="preserve">                                             </w:t>
    </w:r>
    <w:r>
      <w:rPr>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chineseCounting"/>
      <w:suff w:val="nothing"/>
      <w:lvlText w:val="%1、"/>
      <w:lvlJc w:val="left"/>
    </w:lvl>
  </w:abstractNum>
  <w:abstractNum w:abstractNumId="1">
    <w:nsid w:val="4D2004BF"/>
    <w:multiLevelType w:val="multilevel"/>
    <w:tmpl w:val="4D2004BF"/>
    <w:lvl w:ilvl="0">
      <w:start w:val="1"/>
      <w:numFmt w:val="decimal"/>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ViY2U0NjI2NzY1ZjlhYWJhNDQ0ZTg3MmMwYjdjYzEifQ=="/>
  </w:docVars>
  <w:rsids>
    <w:rsidRoot w:val="00172A27"/>
    <w:rsid w:val="0000649A"/>
    <w:rsid w:val="00007E9E"/>
    <w:rsid w:val="00012D06"/>
    <w:rsid w:val="00014D8B"/>
    <w:rsid w:val="00016DBC"/>
    <w:rsid w:val="00020ACB"/>
    <w:rsid w:val="000238F7"/>
    <w:rsid w:val="00024AC5"/>
    <w:rsid w:val="000352E7"/>
    <w:rsid w:val="00046E39"/>
    <w:rsid w:val="00047686"/>
    <w:rsid w:val="00054F93"/>
    <w:rsid w:val="00055B6D"/>
    <w:rsid w:val="00064E55"/>
    <w:rsid w:val="00073BF3"/>
    <w:rsid w:val="00082ED1"/>
    <w:rsid w:val="00095CF1"/>
    <w:rsid w:val="0009618C"/>
    <w:rsid w:val="000A1F73"/>
    <w:rsid w:val="000A3554"/>
    <w:rsid w:val="000A3770"/>
    <w:rsid w:val="000B0CDD"/>
    <w:rsid w:val="000B7AF1"/>
    <w:rsid w:val="000C1768"/>
    <w:rsid w:val="000C33B4"/>
    <w:rsid w:val="000C4B0B"/>
    <w:rsid w:val="000D028C"/>
    <w:rsid w:val="000D0B6F"/>
    <w:rsid w:val="000E482F"/>
    <w:rsid w:val="000F6AF0"/>
    <w:rsid w:val="00103B61"/>
    <w:rsid w:val="0010694B"/>
    <w:rsid w:val="0010751C"/>
    <w:rsid w:val="001100C5"/>
    <w:rsid w:val="00110817"/>
    <w:rsid w:val="00111746"/>
    <w:rsid w:val="00115593"/>
    <w:rsid w:val="00116092"/>
    <w:rsid w:val="00136727"/>
    <w:rsid w:val="00137224"/>
    <w:rsid w:val="0014158A"/>
    <w:rsid w:val="0014326C"/>
    <w:rsid w:val="00146779"/>
    <w:rsid w:val="00154704"/>
    <w:rsid w:val="00156C69"/>
    <w:rsid w:val="00171FDA"/>
    <w:rsid w:val="00186707"/>
    <w:rsid w:val="00186C7F"/>
    <w:rsid w:val="0019454E"/>
    <w:rsid w:val="001A0BE9"/>
    <w:rsid w:val="001A69E7"/>
    <w:rsid w:val="001A7ABB"/>
    <w:rsid w:val="001B0192"/>
    <w:rsid w:val="001B2FE8"/>
    <w:rsid w:val="001B62F6"/>
    <w:rsid w:val="001B7579"/>
    <w:rsid w:val="001B7B53"/>
    <w:rsid w:val="001C18DE"/>
    <w:rsid w:val="001C52F6"/>
    <w:rsid w:val="001C5809"/>
    <w:rsid w:val="001C689D"/>
    <w:rsid w:val="001D4E1B"/>
    <w:rsid w:val="001D6B39"/>
    <w:rsid w:val="001E0A8E"/>
    <w:rsid w:val="001E3B48"/>
    <w:rsid w:val="001E6D7F"/>
    <w:rsid w:val="001F11CB"/>
    <w:rsid w:val="001F27F9"/>
    <w:rsid w:val="001F534E"/>
    <w:rsid w:val="002028F7"/>
    <w:rsid w:val="00206B8A"/>
    <w:rsid w:val="00212FC5"/>
    <w:rsid w:val="00214A79"/>
    <w:rsid w:val="002171FD"/>
    <w:rsid w:val="00217AD0"/>
    <w:rsid w:val="0022286F"/>
    <w:rsid w:val="00222B1E"/>
    <w:rsid w:val="002256FC"/>
    <w:rsid w:val="00233A02"/>
    <w:rsid w:val="00237B45"/>
    <w:rsid w:val="002407BF"/>
    <w:rsid w:val="00242850"/>
    <w:rsid w:val="00243352"/>
    <w:rsid w:val="00246FF7"/>
    <w:rsid w:val="0025358A"/>
    <w:rsid w:val="00262CCB"/>
    <w:rsid w:val="002655C7"/>
    <w:rsid w:val="00266313"/>
    <w:rsid w:val="00266F24"/>
    <w:rsid w:val="00273974"/>
    <w:rsid w:val="002757E0"/>
    <w:rsid w:val="0028202D"/>
    <w:rsid w:val="002836DF"/>
    <w:rsid w:val="0028628F"/>
    <w:rsid w:val="0029484A"/>
    <w:rsid w:val="002A1A8C"/>
    <w:rsid w:val="002A4479"/>
    <w:rsid w:val="002B1976"/>
    <w:rsid w:val="002B5395"/>
    <w:rsid w:val="002B5522"/>
    <w:rsid w:val="002B77FE"/>
    <w:rsid w:val="002C29E6"/>
    <w:rsid w:val="002C7684"/>
    <w:rsid w:val="002D723D"/>
    <w:rsid w:val="002E7E78"/>
    <w:rsid w:val="002F1723"/>
    <w:rsid w:val="002F21D2"/>
    <w:rsid w:val="002F57CF"/>
    <w:rsid w:val="00305788"/>
    <w:rsid w:val="00321B30"/>
    <w:rsid w:val="00321BC0"/>
    <w:rsid w:val="00321BDB"/>
    <w:rsid w:val="00323865"/>
    <w:rsid w:val="0033229F"/>
    <w:rsid w:val="003455D2"/>
    <w:rsid w:val="003519A5"/>
    <w:rsid w:val="00381F78"/>
    <w:rsid w:val="003A6584"/>
    <w:rsid w:val="003C014B"/>
    <w:rsid w:val="003C0EC7"/>
    <w:rsid w:val="003C4B63"/>
    <w:rsid w:val="003E63C2"/>
    <w:rsid w:val="003F06DD"/>
    <w:rsid w:val="003F2759"/>
    <w:rsid w:val="003F7089"/>
    <w:rsid w:val="0040328A"/>
    <w:rsid w:val="00403AD2"/>
    <w:rsid w:val="00413E93"/>
    <w:rsid w:val="00421CF8"/>
    <w:rsid w:val="004220CB"/>
    <w:rsid w:val="00422D34"/>
    <w:rsid w:val="0042576C"/>
    <w:rsid w:val="004428C3"/>
    <w:rsid w:val="00447284"/>
    <w:rsid w:val="004568FE"/>
    <w:rsid w:val="00462E24"/>
    <w:rsid w:val="00465ED8"/>
    <w:rsid w:val="00467FD4"/>
    <w:rsid w:val="00472F97"/>
    <w:rsid w:val="00473427"/>
    <w:rsid w:val="00483B02"/>
    <w:rsid w:val="0048596B"/>
    <w:rsid w:val="00485FAE"/>
    <w:rsid w:val="0049019C"/>
    <w:rsid w:val="004929BE"/>
    <w:rsid w:val="004A7831"/>
    <w:rsid w:val="004C4115"/>
    <w:rsid w:val="004D1037"/>
    <w:rsid w:val="004D37F5"/>
    <w:rsid w:val="004D60D6"/>
    <w:rsid w:val="004E30C0"/>
    <w:rsid w:val="004E4595"/>
    <w:rsid w:val="004F6CF3"/>
    <w:rsid w:val="004F73F7"/>
    <w:rsid w:val="004F7AC7"/>
    <w:rsid w:val="00500C75"/>
    <w:rsid w:val="005011B8"/>
    <w:rsid w:val="005029D6"/>
    <w:rsid w:val="00503477"/>
    <w:rsid w:val="005074E3"/>
    <w:rsid w:val="0051241B"/>
    <w:rsid w:val="00521E75"/>
    <w:rsid w:val="00523A8C"/>
    <w:rsid w:val="00525ECC"/>
    <w:rsid w:val="00533850"/>
    <w:rsid w:val="00534034"/>
    <w:rsid w:val="00541A8F"/>
    <w:rsid w:val="00544DAC"/>
    <w:rsid w:val="00546702"/>
    <w:rsid w:val="00550848"/>
    <w:rsid w:val="00563EC8"/>
    <w:rsid w:val="005641DA"/>
    <w:rsid w:val="00565434"/>
    <w:rsid w:val="00573079"/>
    <w:rsid w:val="0058065B"/>
    <w:rsid w:val="00595C10"/>
    <w:rsid w:val="005A1BE5"/>
    <w:rsid w:val="005A3CE0"/>
    <w:rsid w:val="005A5FC2"/>
    <w:rsid w:val="005A6826"/>
    <w:rsid w:val="005A7AD3"/>
    <w:rsid w:val="005B1F6A"/>
    <w:rsid w:val="005B236D"/>
    <w:rsid w:val="005B58C6"/>
    <w:rsid w:val="005B67A7"/>
    <w:rsid w:val="005C3AE2"/>
    <w:rsid w:val="005D2F17"/>
    <w:rsid w:val="005E23B5"/>
    <w:rsid w:val="005E2CB3"/>
    <w:rsid w:val="005E49A5"/>
    <w:rsid w:val="005E6ED9"/>
    <w:rsid w:val="005F009C"/>
    <w:rsid w:val="005F1B24"/>
    <w:rsid w:val="006000A2"/>
    <w:rsid w:val="006023EC"/>
    <w:rsid w:val="0060405A"/>
    <w:rsid w:val="00604A50"/>
    <w:rsid w:val="006231C7"/>
    <w:rsid w:val="0062661E"/>
    <w:rsid w:val="00627557"/>
    <w:rsid w:val="0063099E"/>
    <w:rsid w:val="006313A8"/>
    <w:rsid w:val="00640214"/>
    <w:rsid w:val="00641925"/>
    <w:rsid w:val="00665535"/>
    <w:rsid w:val="00665CC9"/>
    <w:rsid w:val="00675220"/>
    <w:rsid w:val="006753E3"/>
    <w:rsid w:val="00675572"/>
    <w:rsid w:val="00687DA7"/>
    <w:rsid w:val="0069444E"/>
    <w:rsid w:val="00697994"/>
    <w:rsid w:val="006B2621"/>
    <w:rsid w:val="006C0FF3"/>
    <w:rsid w:val="006D138C"/>
    <w:rsid w:val="006E0FF6"/>
    <w:rsid w:val="006E2C84"/>
    <w:rsid w:val="006E60B8"/>
    <w:rsid w:val="006F5F66"/>
    <w:rsid w:val="00702C75"/>
    <w:rsid w:val="00706E24"/>
    <w:rsid w:val="007079EA"/>
    <w:rsid w:val="00707A0D"/>
    <w:rsid w:val="007104AF"/>
    <w:rsid w:val="00724AC9"/>
    <w:rsid w:val="0072504F"/>
    <w:rsid w:val="007254DC"/>
    <w:rsid w:val="007450B6"/>
    <w:rsid w:val="00745F44"/>
    <w:rsid w:val="00746072"/>
    <w:rsid w:val="00753AD0"/>
    <w:rsid w:val="00763662"/>
    <w:rsid w:val="00766C18"/>
    <w:rsid w:val="0078016C"/>
    <w:rsid w:val="007804AE"/>
    <w:rsid w:val="00786181"/>
    <w:rsid w:val="007868BC"/>
    <w:rsid w:val="00787D3D"/>
    <w:rsid w:val="007A211F"/>
    <w:rsid w:val="007A374E"/>
    <w:rsid w:val="007A5C15"/>
    <w:rsid w:val="007A6C12"/>
    <w:rsid w:val="007A72EC"/>
    <w:rsid w:val="007B056D"/>
    <w:rsid w:val="007B3B63"/>
    <w:rsid w:val="007B3F67"/>
    <w:rsid w:val="007B5D51"/>
    <w:rsid w:val="007D46B0"/>
    <w:rsid w:val="007D5E8F"/>
    <w:rsid w:val="007E16E2"/>
    <w:rsid w:val="007E583E"/>
    <w:rsid w:val="007F0121"/>
    <w:rsid w:val="00806B0B"/>
    <w:rsid w:val="00815B12"/>
    <w:rsid w:val="00820E16"/>
    <w:rsid w:val="00823474"/>
    <w:rsid w:val="00830CEE"/>
    <w:rsid w:val="008452B7"/>
    <w:rsid w:val="00846614"/>
    <w:rsid w:val="00857CCE"/>
    <w:rsid w:val="008607BE"/>
    <w:rsid w:val="008631E7"/>
    <w:rsid w:val="00864CAE"/>
    <w:rsid w:val="0086651F"/>
    <w:rsid w:val="00870715"/>
    <w:rsid w:val="008810B1"/>
    <w:rsid w:val="00882831"/>
    <w:rsid w:val="00887F2F"/>
    <w:rsid w:val="008A2830"/>
    <w:rsid w:val="008B2A68"/>
    <w:rsid w:val="008B2A6F"/>
    <w:rsid w:val="008C4309"/>
    <w:rsid w:val="008C4937"/>
    <w:rsid w:val="008D1E46"/>
    <w:rsid w:val="008E16C5"/>
    <w:rsid w:val="008E3FBC"/>
    <w:rsid w:val="0090393A"/>
    <w:rsid w:val="009058EF"/>
    <w:rsid w:val="009255D9"/>
    <w:rsid w:val="00930AA9"/>
    <w:rsid w:val="0093471D"/>
    <w:rsid w:val="00937FA1"/>
    <w:rsid w:val="009520A2"/>
    <w:rsid w:val="00955147"/>
    <w:rsid w:val="00966E7C"/>
    <w:rsid w:val="00970B88"/>
    <w:rsid w:val="00975220"/>
    <w:rsid w:val="009825CD"/>
    <w:rsid w:val="009833FB"/>
    <w:rsid w:val="00983DA8"/>
    <w:rsid w:val="00996B30"/>
    <w:rsid w:val="00997A78"/>
    <w:rsid w:val="009A0193"/>
    <w:rsid w:val="009A27B8"/>
    <w:rsid w:val="009A35E0"/>
    <w:rsid w:val="009A4307"/>
    <w:rsid w:val="009A51C3"/>
    <w:rsid w:val="009C0A56"/>
    <w:rsid w:val="009E0631"/>
    <w:rsid w:val="009E2071"/>
    <w:rsid w:val="009E36C0"/>
    <w:rsid w:val="009E504F"/>
    <w:rsid w:val="009E63E0"/>
    <w:rsid w:val="009E7D7D"/>
    <w:rsid w:val="009F5638"/>
    <w:rsid w:val="009F5A6E"/>
    <w:rsid w:val="009F5D51"/>
    <w:rsid w:val="009F7638"/>
    <w:rsid w:val="00A00FD4"/>
    <w:rsid w:val="00A0158F"/>
    <w:rsid w:val="00A049E1"/>
    <w:rsid w:val="00A106E4"/>
    <w:rsid w:val="00A12511"/>
    <w:rsid w:val="00A211FD"/>
    <w:rsid w:val="00A21B4A"/>
    <w:rsid w:val="00A26320"/>
    <w:rsid w:val="00A272D7"/>
    <w:rsid w:val="00A35D7A"/>
    <w:rsid w:val="00A559B9"/>
    <w:rsid w:val="00A56D0F"/>
    <w:rsid w:val="00A57AFC"/>
    <w:rsid w:val="00A62261"/>
    <w:rsid w:val="00A63563"/>
    <w:rsid w:val="00A723A3"/>
    <w:rsid w:val="00A730A9"/>
    <w:rsid w:val="00A73F36"/>
    <w:rsid w:val="00A77D04"/>
    <w:rsid w:val="00A80E1A"/>
    <w:rsid w:val="00A86614"/>
    <w:rsid w:val="00A877C2"/>
    <w:rsid w:val="00A9055C"/>
    <w:rsid w:val="00A90FC9"/>
    <w:rsid w:val="00AA1C63"/>
    <w:rsid w:val="00AA3D2C"/>
    <w:rsid w:val="00AA722A"/>
    <w:rsid w:val="00AA7BCC"/>
    <w:rsid w:val="00AB1743"/>
    <w:rsid w:val="00AB7A9C"/>
    <w:rsid w:val="00AC18DC"/>
    <w:rsid w:val="00AD5950"/>
    <w:rsid w:val="00AD6AD2"/>
    <w:rsid w:val="00AD7D37"/>
    <w:rsid w:val="00AE2ACB"/>
    <w:rsid w:val="00AE495E"/>
    <w:rsid w:val="00AE4C83"/>
    <w:rsid w:val="00AF3790"/>
    <w:rsid w:val="00B02C08"/>
    <w:rsid w:val="00B04C42"/>
    <w:rsid w:val="00B069D7"/>
    <w:rsid w:val="00B07F8B"/>
    <w:rsid w:val="00B3061F"/>
    <w:rsid w:val="00B522B9"/>
    <w:rsid w:val="00B6077A"/>
    <w:rsid w:val="00B808CC"/>
    <w:rsid w:val="00B8637E"/>
    <w:rsid w:val="00B86F99"/>
    <w:rsid w:val="00B92AFB"/>
    <w:rsid w:val="00B93B8E"/>
    <w:rsid w:val="00B94D5F"/>
    <w:rsid w:val="00BB4C55"/>
    <w:rsid w:val="00BB7546"/>
    <w:rsid w:val="00BC2E89"/>
    <w:rsid w:val="00BC7703"/>
    <w:rsid w:val="00BE0753"/>
    <w:rsid w:val="00BE2E40"/>
    <w:rsid w:val="00BF73FD"/>
    <w:rsid w:val="00BF7495"/>
    <w:rsid w:val="00BF7EE3"/>
    <w:rsid w:val="00C06E6A"/>
    <w:rsid w:val="00C070F0"/>
    <w:rsid w:val="00C10574"/>
    <w:rsid w:val="00C15714"/>
    <w:rsid w:val="00C20DAB"/>
    <w:rsid w:val="00C318F1"/>
    <w:rsid w:val="00C31A84"/>
    <w:rsid w:val="00C5219C"/>
    <w:rsid w:val="00C5403B"/>
    <w:rsid w:val="00C62A21"/>
    <w:rsid w:val="00C663EF"/>
    <w:rsid w:val="00C70DC7"/>
    <w:rsid w:val="00C72A87"/>
    <w:rsid w:val="00C8233E"/>
    <w:rsid w:val="00C834B3"/>
    <w:rsid w:val="00C85A29"/>
    <w:rsid w:val="00CA00B1"/>
    <w:rsid w:val="00CA1696"/>
    <w:rsid w:val="00CA77E4"/>
    <w:rsid w:val="00CC719A"/>
    <w:rsid w:val="00CE0ABF"/>
    <w:rsid w:val="00CF157B"/>
    <w:rsid w:val="00CF2525"/>
    <w:rsid w:val="00CF7CC7"/>
    <w:rsid w:val="00D01C27"/>
    <w:rsid w:val="00D03447"/>
    <w:rsid w:val="00D04CFB"/>
    <w:rsid w:val="00D05848"/>
    <w:rsid w:val="00D12C4D"/>
    <w:rsid w:val="00D148CE"/>
    <w:rsid w:val="00D20BC1"/>
    <w:rsid w:val="00D31756"/>
    <w:rsid w:val="00D32177"/>
    <w:rsid w:val="00D333EF"/>
    <w:rsid w:val="00D40EF3"/>
    <w:rsid w:val="00D4543D"/>
    <w:rsid w:val="00D500D7"/>
    <w:rsid w:val="00D52D88"/>
    <w:rsid w:val="00D5446E"/>
    <w:rsid w:val="00D620F9"/>
    <w:rsid w:val="00D622C4"/>
    <w:rsid w:val="00D62731"/>
    <w:rsid w:val="00D72D59"/>
    <w:rsid w:val="00D84F80"/>
    <w:rsid w:val="00D85F9F"/>
    <w:rsid w:val="00D87488"/>
    <w:rsid w:val="00D92476"/>
    <w:rsid w:val="00D955F9"/>
    <w:rsid w:val="00D95808"/>
    <w:rsid w:val="00D975FC"/>
    <w:rsid w:val="00DA2D2A"/>
    <w:rsid w:val="00DB2C85"/>
    <w:rsid w:val="00DB41CA"/>
    <w:rsid w:val="00DB5352"/>
    <w:rsid w:val="00DB6353"/>
    <w:rsid w:val="00DC0C60"/>
    <w:rsid w:val="00DC58EC"/>
    <w:rsid w:val="00DC5F41"/>
    <w:rsid w:val="00DD1966"/>
    <w:rsid w:val="00DD2643"/>
    <w:rsid w:val="00DD47FA"/>
    <w:rsid w:val="00DE0942"/>
    <w:rsid w:val="00DE5004"/>
    <w:rsid w:val="00DE5A52"/>
    <w:rsid w:val="00DE6687"/>
    <w:rsid w:val="00DF4473"/>
    <w:rsid w:val="00E074CC"/>
    <w:rsid w:val="00E078FB"/>
    <w:rsid w:val="00E1056F"/>
    <w:rsid w:val="00E15B0F"/>
    <w:rsid w:val="00E16C43"/>
    <w:rsid w:val="00E22188"/>
    <w:rsid w:val="00E3382E"/>
    <w:rsid w:val="00E4012E"/>
    <w:rsid w:val="00E44F4B"/>
    <w:rsid w:val="00E45FDB"/>
    <w:rsid w:val="00E6044A"/>
    <w:rsid w:val="00E67F38"/>
    <w:rsid w:val="00E745D9"/>
    <w:rsid w:val="00E75BF1"/>
    <w:rsid w:val="00E760E6"/>
    <w:rsid w:val="00E85F4E"/>
    <w:rsid w:val="00E908A8"/>
    <w:rsid w:val="00EA0A2D"/>
    <w:rsid w:val="00EA3D6B"/>
    <w:rsid w:val="00EA4D8A"/>
    <w:rsid w:val="00EB027F"/>
    <w:rsid w:val="00EC5857"/>
    <w:rsid w:val="00ED39BB"/>
    <w:rsid w:val="00ED787B"/>
    <w:rsid w:val="00EE08F0"/>
    <w:rsid w:val="00EF0BDF"/>
    <w:rsid w:val="00F00CC1"/>
    <w:rsid w:val="00F023E5"/>
    <w:rsid w:val="00F07D54"/>
    <w:rsid w:val="00F313A7"/>
    <w:rsid w:val="00F42B78"/>
    <w:rsid w:val="00F42CD8"/>
    <w:rsid w:val="00F4506C"/>
    <w:rsid w:val="00F502A3"/>
    <w:rsid w:val="00F67F8A"/>
    <w:rsid w:val="00F75B76"/>
    <w:rsid w:val="00F76E30"/>
    <w:rsid w:val="00F82A64"/>
    <w:rsid w:val="00F84042"/>
    <w:rsid w:val="00F843EB"/>
    <w:rsid w:val="00F84D6B"/>
    <w:rsid w:val="00F87DD3"/>
    <w:rsid w:val="00F91471"/>
    <w:rsid w:val="00F93BC9"/>
    <w:rsid w:val="00FA5F69"/>
    <w:rsid w:val="00FA7A61"/>
    <w:rsid w:val="00FB1CD6"/>
    <w:rsid w:val="00FB4D6C"/>
    <w:rsid w:val="00FC275B"/>
    <w:rsid w:val="00FC3FDB"/>
    <w:rsid w:val="00FC587C"/>
    <w:rsid w:val="00FD644C"/>
    <w:rsid w:val="00FE2FEE"/>
    <w:rsid w:val="00FE44A1"/>
    <w:rsid w:val="00FF21AF"/>
    <w:rsid w:val="045C1EDD"/>
    <w:rsid w:val="0737371E"/>
    <w:rsid w:val="0B57160F"/>
    <w:rsid w:val="2CDC17E4"/>
    <w:rsid w:val="355611B6"/>
    <w:rsid w:val="3934025E"/>
    <w:rsid w:val="45837A25"/>
    <w:rsid w:val="4593458A"/>
    <w:rsid w:val="4B4805A9"/>
    <w:rsid w:val="4F1D2222"/>
    <w:rsid w:val="56E047AD"/>
    <w:rsid w:val="6B916CCF"/>
    <w:rsid w:val="6C8C2EB2"/>
    <w:rsid w:val="6D70634D"/>
    <w:rsid w:val="72594C50"/>
    <w:rsid w:val="79914F40"/>
    <w:rsid w:val="7EEB3CA0"/>
    <w:rsid w:val="7F5B7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宋体"/>
    </w:rPr>
  </w:style>
  <w:style w:type="character" w:customStyle="1" w:styleId="Char">
    <w:name w:val="纯文本 Char"/>
    <w:link w:val="a3"/>
    <w:rPr>
      <w:rFonts w:ascii="宋体" w:hAnsi="Courier New" w:cs="宋体"/>
      <w:sz w:val="21"/>
      <w:szCs w:val="21"/>
    </w:rPr>
  </w:style>
  <w:style w:type="paragraph" w:styleId="a4">
    <w:name w:val="Date"/>
    <w:basedOn w:val="a"/>
    <w:next w:val="a"/>
    <w:pPr>
      <w:ind w:leftChars="2500" w:left="100"/>
    </w:pPr>
  </w:style>
  <w:style w:type="paragraph" w:styleId="a5">
    <w:name w:val="Balloon Text"/>
    <w:basedOn w:val="a"/>
    <w:link w:val="Char0"/>
    <w:rPr>
      <w:sz w:val="18"/>
      <w:szCs w:val="18"/>
    </w:rPr>
  </w:style>
  <w:style w:type="character" w:customStyle="1" w:styleId="Char0">
    <w:name w:val="批注框文本 Char"/>
    <w:link w:val="a5"/>
    <w:rPr>
      <w:rFonts w:ascii="Times New Roman" w:eastAsia="宋体" w:hAnsi="Times New Roman" w:cs="Times New Roman"/>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style>
  <w:style w:type="paragraph" w:customStyle="1" w:styleId="ListParagraph">
    <w:name w:val="List Paragraph"/>
    <w:basedOn w:val="a"/>
    <w:pPr>
      <w:ind w:firstLineChars="200" w:firstLine="420"/>
    </w:pPr>
    <w:rPr>
      <w:rFonts w:ascii="Calibri" w:hAnsi="Calibri" w:cs="Calibri"/>
    </w:rPr>
  </w:style>
  <w:style w:type="paragraph" w:customStyle="1" w:styleId="CharCharCharChar">
    <w:name w:val=" Char Char Char Char"/>
    <w:basedOn w:val="a"/>
    <w:pPr>
      <w:tabs>
        <w:tab w:val="left" w:pos="360"/>
      </w:tabs>
    </w:p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styleId="aa">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
    <w:name w:val="样式 首行缩进:  2 字符"/>
    <w:basedOn w:val="a"/>
    <w:pPr>
      <w:ind w:firstLineChars="100" w:firstLine="210"/>
    </w:pPr>
    <w:rPr>
      <w:rFonts w:eastAsia="仿宋_GB2312"/>
      <w:sz w:val="30"/>
      <w:szCs w:val="30"/>
    </w:rPr>
  </w:style>
  <w:style w:type="paragraph" w:customStyle="1" w:styleId="CharCharCharChar0">
    <w:name w:val="Char Char Char Char"/>
    <w:basedOn w:val="a"/>
    <w:pPr>
      <w:tabs>
        <w:tab w:val="left" w:pos="360"/>
      </w:tabs>
    </w:pPr>
  </w:style>
  <w:style w:type="paragraph" w:customStyle="1" w:styleId="p0">
    <w:name w:val="p0"/>
    <w:basedOn w:val="a"/>
    <w:pPr>
      <w:widowControl/>
      <w:jc w:val="left"/>
    </w:pPr>
    <w:rPr>
      <w:rFonts w:hint="eastAsia"/>
      <w:kern w:val="0"/>
      <w:sz w:val="20"/>
      <w:szCs w:val="20"/>
      <w:lang w:eastAsia="zh-CN"/>
    </w:rPr>
  </w:style>
  <w:style w:type="paragraph" w:customStyle="1" w:styleId="Char3">
    <w:name w:val="Char"/>
    <w:basedOn w:val="a"/>
    <w:rPr>
      <w:rFonts w:eastAsia="仿宋_GB2312"/>
      <w:sz w:val="28"/>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5523</Words>
  <Characters>1497</Characters>
  <Application>Microsoft Office Word</Application>
  <DocSecurity>0</DocSecurity>
  <PresentationFormat/>
  <Lines>12</Lines>
  <Paragraphs>14</Paragraphs>
  <Slides>0</Slides>
  <Notes>0</Notes>
  <HiddenSlides>0</HiddenSlides>
  <MMClips>0</MMClips>
  <ScaleCrop>false</ScaleCrop>
  <Company>科技</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关于召开安徽长丰科源村镇银行股份有限公司</dc:title>
  <dc:subject/>
  <dc:creator>科技</dc:creator>
  <cp:keywords/>
  <cp:lastModifiedBy>admin</cp:lastModifiedBy>
  <cp:revision>2</cp:revision>
  <cp:lastPrinted>2022-06-13T09:19:00Z</cp:lastPrinted>
  <dcterms:created xsi:type="dcterms:W3CDTF">2023-03-15T03:31:00Z</dcterms:created>
  <dcterms:modified xsi:type="dcterms:W3CDTF">2023-03-15T03:31:00Z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5C43E8353ACE42128515670B010EEC7E</vt:lpwstr>
  </property>
</Properties>
</file>